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FA44F" w14:textId="77777777" w:rsidR="000E58C1" w:rsidRDefault="000E58C1" w:rsidP="0004026C">
      <w:pPr>
        <w:pStyle w:val="Standard"/>
        <w:jc w:val="both"/>
      </w:pPr>
    </w:p>
    <w:p w14:paraId="7B1F4296" w14:textId="77777777" w:rsidR="000E58C1" w:rsidRDefault="000E58C1" w:rsidP="0004026C">
      <w:pPr>
        <w:pStyle w:val="Standard"/>
        <w:jc w:val="both"/>
      </w:pPr>
    </w:p>
    <w:p w14:paraId="794A772A" w14:textId="77777777" w:rsidR="000E58C1" w:rsidRDefault="000E58C1" w:rsidP="0004026C">
      <w:pPr>
        <w:pStyle w:val="Standard"/>
        <w:jc w:val="both"/>
      </w:pPr>
    </w:p>
    <w:p w14:paraId="38CA7E12" w14:textId="77777777" w:rsidR="000E58C1" w:rsidRDefault="000E58C1" w:rsidP="0004026C">
      <w:pPr>
        <w:pStyle w:val="Standard"/>
        <w:jc w:val="both"/>
      </w:pPr>
    </w:p>
    <w:p w14:paraId="4B533D19" w14:textId="77777777" w:rsidR="000E58C1" w:rsidRDefault="000E58C1" w:rsidP="0004026C">
      <w:pPr>
        <w:pStyle w:val="Standard"/>
        <w:jc w:val="both"/>
      </w:pPr>
    </w:p>
    <w:p w14:paraId="535BC9A3" w14:textId="77777777" w:rsidR="000E58C1" w:rsidRDefault="000E58C1" w:rsidP="0004026C">
      <w:pPr>
        <w:pStyle w:val="Standard"/>
        <w:jc w:val="both"/>
      </w:pPr>
    </w:p>
    <w:p w14:paraId="03535F17" w14:textId="77777777" w:rsidR="000E58C1" w:rsidRDefault="000E58C1" w:rsidP="0004026C">
      <w:pPr>
        <w:pStyle w:val="Standard"/>
        <w:jc w:val="both"/>
      </w:pPr>
    </w:p>
    <w:p w14:paraId="3073A5E9" w14:textId="77777777" w:rsidR="000E58C1" w:rsidRDefault="000E58C1" w:rsidP="000C3D9E">
      <w:pPr>
        <w:pStyle w:val="Standard"/>
        <w:jc w:val="center"/>
      </w:pPr>
    </w:p>
    <w:p w14:paraId="5FB0AA18" w14:textId="77777777" w:rsidR="000E58C1" w:rsidRDefault="000E58C1" w:rsidP="000C3D9E">
      <w:pPr>
        <w:pStyle w:val="Standard"/>
        <w:jc w:val="center"/>
      </w:pPr>
    </w:p>
    <w:p w14:paraId="177A5262" w14:textId="77777777" w:rsidR="000E58C1" w:rsidRDefault="000E58C1" w:rsidP="000C3D9E">
      <w:pPr>
        <w:pStyle w:val="Standard"/>
        <w:jc w:val="center"/>
      </w:pPr>
    </w:p>
    <w:p w14:paraId="4AB73026" w14:textId="77777777" w:rsidR="0026661D" w:rsidRDefault="00F64AC3" w:rsidP="000C3D9E">
      <w:pPr>
        <w:pStyle w:val="Standard"/>
        <w:jc w:val="center"/>
      </w:pPr>
      <w:r>
        <w:object w:dxaOrig="9091" w:dyaOrig="6089" w14:anchorId="584B2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74.25pt" o:ole="">
            <v:imagedata r:id="rId8" o:title=""/>
          </v:shape>
          <o:OLEObject Type="Embed" ProgID="PBrush" ShapeID="_x0000_i1025" DrawAspect="Content" ObjectID="_1774408588" r:id="rId9"/>
        </w:object>
      </w:r>
    </w:p>
    <w:p w14:paraId="70BF04A2" w14:textId="77777777" w:rsidR="0026661D" w:rsidRDefault="0026661D" w:rsidP="000C3D9E">
      <w:pPr>
        <w:pStyle w:val="Standard"/>
        <w:jc w:val="center"/>
      </w:pPr>
    </w:p>
    <w:p w14:paraId="6B21AB18" w14:textId="77777777" w:rsidR="0026661D" w:rsidRDefault="0026661D" w:rsidP="000C3D9E">
      <w:pPr>
        <w:pStyle w:val="Standard"/>
        <w:jc w:val="center"/>
      </w:pPr>
    </w:p>
    <w:p w14:paraId="05AD9575" w14:textId="77777777" w:rsidR="00F263C7" w:rsidRDefault="00F263C7" w:rsidP="000C3D9E">
      <w:pPr>
        <w:pStyle w:val="Standard"/>
        <w:jc w:val="center"/>
        <w:rPr>
          <w:rFonts w:ascii="Arial" w:hAnsi="Arial" w:cs="Arial"/>
          <w:sz w:val="30"/>
          <w:szCs w:val="30"/>
        </w:rPr>
      </w:pPr>
    </w:p>
    <w:p w14:paraId="6F4B65F8" w14:textId="77777777" w:rsidR="00F263C7" w:rsidRDefault="00F263C7" w:rsidP="000C3D9E">
      <w:pPr>
        <w:pStyle w:val="Standard"/>
        <w:jc w:val="center"/>
        <w:rPr>
          <w:rFonts w:ascii="Arial" w:hAnsi="Arial" w:cs="Arial"/>
          <w:sz w:val="30"/>
          <w:szCs w:val="30"/>
        </w:rPr>
      </w:pPr>
    </w:p>
    <w:p w14:paraId="3A93CB56" w14:textId="77777777" w:rsidR="0026661D" w:rsidRDefault="0026661D" w:rsidP="000C3D9E">
      <w:pPr>
        <w:pStyle w:val="Standard"/>
        <w:jc w:val="center"/>
        <w:rPr>
          <w:rFonts w:ascii="Arial" w:hAnsi="Arial" w:cs="Arial"/>
          <w:sz w:val="30"/>
          <w:szCs w:val="30"/>
        </w:rPr>
      </w:pPr>
    </w:p>
    <w:p w14:paraId="52EC7FFA" w14:textId="77777777" w:rsidR="0026661D" w:rsidRDefault="0026661D" w:rsidP="000C3D9E">
      <w:pPr>
        <w:pStyle w:val="Standard"/>
        <w:jc w:val="center"/>
        <w:rPr>
          <w:rFonts w:ascii="Arial" w:hAnsi="Arial" w:cs="Arial"/>
          <w:sz w:val="30"/>
          <w:szCs w:val="30"/>
        </w:rPr>
      </w:pPr>
    </w:p>
    <w:p w14:paraId="55F67C93" w14:textId="77777777" w:rsidR="0026661D" w:rsidRDefault="0026661D" w:rsidP="000C3D9E">
      <w:pPr>
        <w:pStyle w:val="Standard"/>
        <w:jc w:val="center"/>
        <w:rPr>
          <w:rFonts w:ascii="Arial" w:hAnsi="Arial" w:cs="Arial"/>
          <w:sz w:val="30"/>
          <w:szCs w:val="30"/>
        </w:rPr>
      </w:pPr>
    </w:p>
    <w:p w14:paraId="6C15FCAD" w14:textId="2C6B96B8" w:rsidR="003B6202" w:rsidRDefault="00273A75" w:rsidP="000C3D9E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DICHIARAZIONE DI</w:t>
      </w:r>
    </w:p>
    <w:p w14:paraId="228B5A8E" w14:textId="0441B6B1" w:rsidR="00257D9D" w:rsidRPr="001806B0" w:rsidRDefault="0004026C" w:rsidP="000C3D9E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IMPARZIALITÀ </w:t>
      </w:r>
      <w:r w:rsidR="003B6202">
        <w:rPr>
          <w:rFonts w:ascii="Arial" w:hAnsi="Arial" w:cs="Arial"/>
          <w:b/>
          <w:bCs/>
          <w:sz w:val="36"/>
          <w:szCs w:val="36"/>
        </w:rPr>
        <w:t>INDIPENDENZA E</w:t>
      </w:r>
      <w:r>
        <w:rPr>
          <w:rFonts w:ascii="Arial" w:hAnsi="Arial" w:cs="Arial"/>
          <w:b/>
          <w:bCs/>
          <w:sz w:val="36"/>
          <w:szCs w:val="36"/>
        </w:rPr>
        <w:t xml:space="preserve"> RISERVATEZZA</w:t>
      </w:r>
    </w:p>
    <w:p w14:paraId="2D75D795" w14:textId="77777777" w:rsidR="0026661D" w:rsidRDefault="0026661D" w:rsidP="0004026C">
      <w:pPr>
        <w:pStyle w:val="Standard"/>
        <w:jc w:val="both"/>
        <w:rPr>
          <w:rFonts w:ascii="Arial" w:hAnsi="Arial" w:cs="Arial"/>
          <w:b/>
          <w:bCs/>
          <w:sz w:val="40"/>
          <w:szCs w:val="40"/>
        </w:rPr>
      </w:pPr>
    </w:p>
    <w:p w14:paraId="1CDC3E55" w14:textId="77777777" w:rsidR="0026661D" w:rsidRDefault="0026661D" w:rsidP="0004026C">
      <w:pPr>
        <w:pStyle w:val="Standard"/>
        <w:jc w:val="both"/>
        <w:rPr>
          <w:rFonts w:ascii="Arial" w:hAnsi="Arial" w:cs="Arial"/>
          <w:b/>
          <w:bCs/>
          <w:sz w:val="40"/>
          <w:szCs w:val="40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1500"/>
        <w:gridCol w:w="4755"/>
        <w:gridCol w:w="2307"/>
      </w:tblGrid>
      <w:tr w:rsidR="0026661D" w14:paraId="7F5032C4" w14:textId="77777777" w:rsidTr="00CD4D10">
        <w:trPr>
          <w:jc w:val="center"/>
        </w:trPr>
        <w:tc>
          <w:tcPr>
            <w:tcW w:w="2577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FF621" w14:textId="77777777" w:rsidR="0026661D" w:rsidRDefault="0026661D" w:rsidP="0004026C">
            <w:pPr>
              <w:pStyle w:val="TableContents"/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Emesso: VRTEC</w:t>
            </w:r>
          </w:p>
        </w:tc>
        <w:tc>
          <w:tcPr>
            <w:tcW w:w="475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2331E" w14:textId="77777777" w:rsidR="0026661D" w:rsidRDefault="0026661D" w:rsidP="0004026C">
            <w:pPr>
              <w:pStyle w:val="TableContents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7" w:type="dxa"/>
            <w:tcBorders>
              <w:top w:val="single" w:sz="12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FEBA6" w14:textId="6CA8D908" w:rsidR="0026661D" w:rsidRDefault="0026661D" w:rsidP="0004026C">
            <w:pPr>
              <w:pStyle w:val="TableContents"/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Data:</w:t>
            </w:r>
            <w:r w:rsidR="00907C2B">
              <w:rPr>
                <w:i/>
                <w:iCs/>
              </w:rPr>
              <w:t xml:space="preserve"> </w:t>
            </w:r>
            <w:r w:rsidR="000C3D9E">
              <w:t>05/02/2024</w:t>
            </w:r>
          </w:p>
        </w:tc>
      </w:tr>
      <w:tr w:rsidR="0026661D" w14:paraId="46692B32" w14:textId="77777777" w:rsidTr="00CD4D10">
        <w:trPr>
          <w:jc w:val="center"/>
        </w:trPr>
        <w:tc>
          <w:tcPr>
            <w:tcW w:w="2577" w:type="dxa"/>
            <w:gridSpan w:val="2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885F5" w14:textId="77777777" w:rsidR="0026661D" w:rsidRDefault="0026661D" w:rsidP="0004026C">
            <w:pPr>
              <w:pStyle w:val="TableContents"/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Verificato: RTEC</w:t>
            </w:r>
          </w:p>
        </w:tc>
        <w:tc>
          <w:tcPr>
            <w:tcW w:w="4755" w:type="dxa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7F27A" w14:textId="77777777" w:rsidR="0026661D" w:rsidRDefault="0026661D" w:rsidP="0004026C">
            <w:pPr>
              <w:pStyle w:val="TableContents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E106E" w14:textId="412BACC4" w:rsidR="0026661D" w:rsidRDefault="0026661D" w:rsidP="0004026C">
            <w:pPr>
              <w:pStyle w:val="TableContents"/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Data: </w:t>
            </w:r>
            <w:r w:rsidR="000C3D9E">
              <w:t>05/02/2024</w:t>
            </w:r>
          </w:p>
        </w:tc>
      </w:tr>
      <w:tr w:rsidR="0026661D" w14:paraId="1FBE38A2" w14:textId="77777777" w:rsidTr="00CD4D10">
        <w:trPr>
          <w:jc w:val="center"/>
        </w:trPr>
        <w:tc>
          <w:tcPr>
            <w:tcW w:w="2577" w:type="dxa"/>
            <w:gridSpan w:val="2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548DD4" w:themeColor="text2" w:themeTint="99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AF1D5" w14:textId="77777777" w:rsidR="0026661D" w:rsidRDefault="0026661D" w:rsidP="0004026C">
            <w:pPr>
              <w:pStyle w:val="TableContents"/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Approvato: DG</w:t>
            </w:r>
          </w:p>
        </w:tc>
        <w:tc>
          <w:tcPr>
            <w:tcW w:w="4755" w:type="dxa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548DD4" w:themeColor="text2" w:themeTint="99"/>
              <w:right w:val="single" w:sz="8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C5BF5" w14:textId="77777777" w:rsidR="0026661D" w:rsidRDefault="0026661D" w:rsidP="0004026C">
            <w:pPr>
              <w:pStyle w:val="TableContents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548DD4" w:themeColor="text2" w:themeTint="99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0AF35" w14:textId="495D238D" w:rsidR="0026661D" w:rsidRDefault="0026661D" w:rsidP="0004026C">
            <w:pPr>
              <w:pStyle w:val="TableContents"/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Data</w:t>
            </w:r>
            <w:r w:rsidR="003C6493">
              <w:rPr>
                <w:i/>
                <w:iCs/>
              </w:rPr>
              <w:t>:</w:t>
            </w:r>
            <w:r w:rsidR="003B6202">
              <w:rPr>
                <w:i/>
                <w:iCs/>
              </w:rPr>
              <w:t xml:space="preserve"> </w:t>
            </w:r>
            <w:r w:rsidR="000C3D9E">
              <w:t>05/02/2024</w:t>
            </w:r>
          </w:p>
        </w:tc>
      </w:tr>
      <w:tr w:rsidR="0026661D" w14:paraId="3F7623CB" w14:textId="77777777" w:rsidTr="00CD4D10">
        <w:trPr>
          <w:jc w:val="center"/>
        </w:trPr>
        <w:tc>
          <w:tcPr>
            <w:tcW w:w="1077" w:type="dxa"/>
            <w:tcBorders>
              <w:top w:val="single" w:sz="12" w:space="0" w:color="548DD4" w:themeColor="text2" w:themeTint="99"/>
              <w:left w:val="single" w:sz="12" w:space="0" w:color="4F81BD" w:themeColor="accent1"/>
              <w:bottom w:val="single" w:sz="8" w:space="0" w:color="4F81BD" w:themeColor="accent1"/>
              <w:right w:val="single" w:sz="2" w:space="0" w:color="548DD4" w:themeColor="text2" w:themeTint="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F510D" w14:textId="77777777" w:rsidR="0026661D" w:rsidRDefault="0026661D" w:rsidP="000C3D9E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Rev.</w:t>
            </w:r>
          </w:p>
        </w:tc>
        <w:tc>
          <w:tcPr>
            <w:tcW w:w="1500" w:type="dxa"/>
            <w:tcBorders>
              <w:top w:val="single" w:sz="12" w:space="0" w:color="548DD4" w:themeColor="text2" w:themeTint="99"/>
              <w:left w:val="single" w:sz="2" w:space="0" w:color="548DD4" w:themeColor="text2" w:themeTint="99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55464" w14:textId="77777777" w:rsidR="0026661D" w:rsidRDefault="0026661D" w:rsidP="000C3D9E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62" w:type="dxa"/>
            <w:gridSpan w:val="2"/>
            <w:tcBorders>
              <w:top w:val="single" w:sz="12" w:space="0" w:color="548DD4" w:themeColor="text2" w:themeTint="99"/>
              <w:left w:val="single" w:sz="12" w:space="0" w:color="4F81BD" w:themeColor="accent1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32CAF" w14:textId="77777777" w:rsidR="0026661D" w:rsidRDefault="0026661D" w:rsidP="0004026C">
            <w:pPr>
              <w:pStyle w:val="TableContents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Descrizione modifiche</w:t>
            </w:r>
          </w:p>
        </w:tc>
      </w:tr>
      <w:tr w:rsidR="0026661D" w14:paraId="105BAECF" w14:textId="77777777" w:rsidTr="0004026C">
        <w:trPr>
          <w:trHeight w:val="340"/>
          <w:jc w:val="center"/>
        </w:trPr>
        <w:tc>
          <w:tcPr>
            <w:tcW w:w="1077" w:type="dxa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2" w:space="0" w:color="548DD4" w:themeColor="text2" w:themeTint="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80414" w14:textId="77777777" w:rsidR="0026661D" w:rsidRDefault="003B6202" w:rsidP="000C3D9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00" w:type="dxa"/>
            <w:tcBorders>
              <w:top w:val="single" w:sz="8" w:space="0" w:color="4F81BD" w:themeColor="accent1"/>
              <w:left w:val="single" w:sz="2" w:space="0" w:color="548DD4" w:themeColor="text2" w:themeTint="99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14B3C" w14:textId="77777777" w:rsidR="0026661D" w:rsidRDefault="003B6202" w:rsidP="000C3D9E">
            <w:pPr>
              <w:pStyle w:val="TableContents"/>
              <w:jc w:val="center"/>
            </w:pPr>
            <w:r>
              <w:t>25/05</w:t>
            </w:r>
            <w:r w:rsidR="008455DA">
              <w:t>/2016</w:t>
            </w:r>
          </w:p>
        </w:tc>
        <w:tc>
          <w:tcPr>
            <w:tcW w:w="7062" w:type="dxa"/>
            <w:gridSpan w:val="2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FF9B6" w14:textId="77777777" w:rsidR="0026661D" w:rsidRPr="008455DA" w:rsidRDefault="00405CFD" w:rsidP="0004026C">
            <w:pPr>
              <w:pStyle w:val="TableContents"/>
              <w:jc w:val="both"/>
            </w:pPr>
            <w:r>
              <w:t>Revisione Generale</w:t>
            </w:r>
          </w:p>
        </w:tc>
      </w:tr>
      <w:tr w:rsidR="00DE6FD9" w14:paraId="53E9BC05" w14:textId="77777777" w:rsidTr="0004026C">
        <w:trPr>
          <w:trHeight w:val="340"/>
          <w:jc w:val="center"/>
        </w:trPr>
        <w:tc>
          <w:tcPr>
            <w:tcW w:w="1077" w:type="dxa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2" w:space="0" w:color="548DD4" w:themeColor="text2" w:themeTint="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E000F" w14:textId="77777777" w:rsidR="00DE6FD9" w:rsidRDefault="00DE6FD9" w:rsidP="000C3D9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00" w:type="dxa"/>
            <w:tcBorders>
              <w:top w:val="single" w:sz="8" w:space="0" w:color="4F81BD" w:themeColor="accent1"/>
              <w:left w:val="single" w:sz="2" w:space="0" w:color="548DD4" w:themeColor="text2" w:themeTint="99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51684" w14:textId="77777777" w:rsidR="00DE6FD9" w:rsidRDefault="00DE6FD9" w:rsidP="000C3D9E">
            <w:pPr>
              <w:pStyle w:val="TableContents"/>
              <w:jc w:val="center"/>
            </w:pPr>
            <w:r>
              <w:t>29/06/2016</w:t>
            </w:r>
          </w:p>
        </w:tc>
        <w:tc>
          <w:tcPr>
            <w:tcW w:w="7062" w:type="dxa"/>
            <w:gridSpan w:val="2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DA256" w14:textId="77777777" w:rsidR="00DE6FD9" w:rsidRDefault="00DE6FD9" w:rsidP="0004026C">
            <w:pPr>
              <w:pStyle w:val="TableContents"/>
              <w:jc w:val="both"/>
            </w:pPr>
            <w:r>
              <w:t>Revisione a seguito osservazioni di Accredia</w:t>
            </w:r>
          </w:p>
        </w:tc>
      </w:tr>
      <w:tr w:rsidR="00D24E4A" w14:paraId="46B0DAC2" w14:textId="77777777" w:rsidTr="0004026C">
        <w:trPr>
          <w:trHeight w:val="340"/>
          <w:jc w:val="center"/>
        </w:trPr>
        <w:tc>
          <w:tcPr>
            <w:tcW w:w="1077" w:type="dxa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2" w:space="0" w:color="548DD4" w:themeColor="text2" w:themeTint="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EF28B" w14:textId="77777777" w:rsidR="00D24E4A" w:rsidRDefault="00D24E4A" w:rsidP="000C3D9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DE6FD9">
              <w:rPr>
                <w:b/>
                <w:bCs/>
              </w:rPr>
              <w:t>3</w:t>
            </w:r>
          </w:p>
        </w:tc>
        <w:tc>
          <w:tcPr>
            <w:tcW w:w="1500" w:type="dxa"/>
            <w:tcBorders>
              <w:top w:val="single" w:sz="8" w:space="0" w:color="4F81BD" w:themeColor="accent1"/>
              <w:left w:val="single" w:sz="2" w:space="0" w:color="548DD4" w:themeColor="text2" w:themeTint="99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B9976" w14:textId="77777777" w:rsidR="00D24E4A" w:rsidRDefault="00D24E4A" w:rsidP="000C3D9E">
            <w:pPr>
              <w:pStyle w:val="TableContents"/>
              <w:jc w:val="center"/>
            </w:pPr>
            <w:r>
              <w:t>08/07/2019</w:t>
            </w:r>
          </w:p>
        </w:tc>
        <w:tc>
          <w:tcPr>
            <w:tcW w:w="7062" w:type="dxa"/>
            <w:gridSpan w:val="2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B0AF9" w14:textId="77777777" w:rsidR="00D24E4A" w:rsidRDefault="00D24E4A" w:rsidP="0004026C">
            <w:pPr>
              <w:pStyle w:val="TableContents"/>
              <w:jc w:val="both"/>
            </w:pPr>
            <w:r>
              <w:t>Adeguamento del documento al D</w:t>
            </w:r>
            <w:r w:rsidR="008A1BD8">
              <w:t>.</w:t>
            </w:r>
            <w:r>
              <w:t>M</w:t>
            </w:r>
            <w:r w:rsidR="008A1BD8">
              <w:t>. n. 93 del 21/04/</w:t>
            </w:r>
            <w:r>
              <w:t>2017</w:t>
            </w:r>
            <w:r w:rsidR="008A1BD8">
              <w:t xml:space="preserve"> a seguito commento di Accredia</w:t>
            </w:r>
          </w:p>
        </w:tc>
      </w:tr>
      <w:tr w:rsidR="00F00772" w14:paraId="47A00AF6" w14:textId="77777777" w:rsidTr="0004026C">
        <w:trPr>
          <w:trHeight w:val="340"/>
          <w:jc w:val="center"/>
        </w:trPr>
        <w:tc>
          <w:tcPr>
            <w:tcW w:w="1077" w:type="dxa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2" w:space="0" w:color="548DD4" w:themeColor="text2" w:themeTint="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51853" w14:textId="77777777" w:rsidR="00F00772" w:rsidRDefault="00F00772" w:rsidP="000C3D9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500" w:type="dxa"/>
            <w:tcBorders>
              <w:top w:val="single" w:sz="8" w:space="0" w:color="4F81BD" w:themeColor="accent1"/>
              <w:left w:val="single" w:sz="2" w:space="0" w:color="548DD4" w:themeColor="text2" w:themeTint="99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2E571" w14:textId="16F15B26" w:rsidR="00F00772" w:rsidRPr="00F00772" w:rsidRDefault="00E00C71" w:rsidP="000C3D9E">
            <w:pPr>
              <w:pStyle w:val="TableContents"/>
              <w:jc w:val="center"/>
              <w:rPr>
                <w:b/>
                <w:bCs/>
              </w:rPr>
            </w:pPr>
            <w:r w:rsidRPr="00E00C71">
              <w:t>08/06/2020</w:t>
            </w:r>
          </w:p>
        </w:tc>
        <w:tc>
          <w:tcPr>
            <w:tcW w:w="7062" w:type="dxa"/>
            <w:gridSpan w:val="2"/>
            <w:tcBorders>
              <w:top w:val="single" w:sz="8" w:space="0" w:color="4F81BD" w:themeColor="accent1"/>
              <w:left w:val="single" w:sz="12" w:space="0" w:color="4F81BD" w:themeColor="accent1"/>
              <w:bottom w:val="single" w:sz="8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91038" w14:textId="618F48E3" w:rsidR="00F00772" w:rsidRPr="00F00772" w:rsidRDefault="00E00C71" w:rsidP="0004026C">
            <w:pPr>
              <w:pStyle w:val="TableContents"/>
              <w:jc w:val="both"/>
              <w:rPr>
                <w:b/>
                <w:bCs/>
              </w:rPr>
            </w:pPr>
            <w:r>
              <w:t xml:space="preserve">Richiamato documento </w:t>
            </w:r>
            <w:r w:rsidR="0042635C" w:rsidRPr="0042635C">
              <w:t>SP_MQ_ALL_I “Indipendenza e Imparzialità - Analisi dei rischi”</w:t>
            </w:r>
          </w:p>
        </w:tc>
      </w:tr>
      <w:tr w:rsidR="0004026C" w14:paraId="0C0FA963" w14:textId="77777777" w:rsidTr="0004026C">
        <w:trPr>
          <w:trHeight w:val="340"/>
          <w:jc w:val="center"/>
        </w:trPr>
        <w:tc>
          <w:tcPr>
            <w:tcW w:w="1077" w:type="dxa"/>
            <w:tcBorders>
              <w:top w:val="single" w:sz="8" w:space="0" w:color="4F81BD" w:themeColor="accent1"/>
              <w:left w:val="single" w:sz="12" w:space="0" w:color="4F81BD" w:themeColor="accent1"/>
              <w:bottom w:val="single" w:sz="12" w:space="0" w:color="548DD4" w:themeColor="text2" w:themeTint="99"/>
              <w:right w:val="single" w:sz="2" w:space="0" w:color="548DD4" w:themeColor="text2" w:themeTint="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453BC" w14:textId="47B5C499" w:rsidR="0004026C" w:rsidRDefault="0004026C" w:rsidP="000C3D9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500" w:type="dxa"/>
            <w:tcBorders>
              <w:top w:val="single" w:sz="8" w:space="0" w:color="4F81BD" w:themeColor="accent1"/>
              <w:left w:val="single" w:sz="2" w:space="0" w:color="548DD4" w:themeColor="text2" w:themeTint="99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D2B1C" w14:textId="63BB5034" w:rsidR="0004026C" w:rsidRPr="00E00C71" w:rsidRDefault="000C3D9E" w:rsidP="000C3D9E">
            <w:pPr>
              <w:pStyle w:val="TableContents"/>
              <w:jc w:val="center"/>
            </w:pPr>
            <w:r>
              <w:t>05</w:t>
            </w:r>
            <w:r w:rsidR="0004026C">
              <w:t>/02/2024</w:t>
            </w:r>
          </w:p>
        </w:tc>
        <w:tc>
          <w:tcPr>
            <w:tcW w:w="7062" w:type="dxa"/>
            <w:gridSpan w:val="2"/>
            <w:tcBorders>
              <w:top w:val="single" w:sz="8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BCCE0" w14:textId="3E0101EC" w:rsidR="0004026C" w:rsidRDefault="0004026C" w:rsidP="0004026C">
            <w:pPr>
              <w:pStyle w:val="TableContents"/>
              <w:jc w:val="both"/>
            </w:pPr>
            <w:r>
              <w:t>Esplicitato che trattasi anche di dichiarazione alla riservatezza</w:t>
            </w:r>
          </w:p>
        </w:tc>
      </w:tr>
    </w:tbl>
    <w:p w14:paraId="61D1584E" w14:textId="77777777" w:rsidR="008B29B5" w:rsidRDefault="008B29B5" w:rsidP="0004026C">
      <w:pPr>
        <w:spacing w:line="276" w:lineRule="auto"/>
        <w:jc w:val="both"/>
      </w:pPr>
    </w:p>
    <w:p w14:paraId="3735997B" w14:textId="77777777" w:rsidR="00050DAC" w:rsidRPr="009E1091" w:rsidRDefault="00050DAC" w:rsidP="0004026C">
      <w:pPr>
        <w:pStyle w:val="Titolo1"/>
        <w:numPr>
          <w:ilvl w:val="0"/>
          <w:numId w:val="0"/>
        </w:numPr>
        <w:jc w:val="both"/>
      </w:pPr>
    </w:p>
    <w:p w14:paraId="1E4DC1CD" w14:textId="1B4D8920" w:rsidR="00273A75" w:rsidRPr="000C3D9E" w:rsidRDefault="00273A75" w:rsidP="0004026C">
      <w:pPr>
        <w:pBdr>
          <w:right w:val="single" w:sz="4" w:space="4" w:color="auto"/>
        </w:pBdr>
        <w:ind w:left="284" w:right="401"/>
        <w:jc w:val="both"/>
        <w:rPr>
          <w:rFonts w:ascii="Arial" w:hAnsi="Arial" w:cs="Arial"/>
          <w:bCs/>
          <w:iCs/>
          <w:sz w:val="22"/>
        </w:rPr>
      </w:pPr>
      <w:r w:rsidRPr="000C3D9E">
        <w:rPr>
          <w:rFonts w:ascii="Arial" w:hAnsi="Arial" w:cs="Arial"/>
          <w:bCs/>
          <w:iCs/>
          <w:sz w:val="22"/>
        </w:rPr>
        <w:t xml:space="preserve">La </w:t>
      </w:r>
      <w:proofErr w:type="spellStart"/>
      <w:r w:rsidRPr="000C3D9E">
        <w:rPr>
          <w:rFonts w:ascii="Arial" w:hAnsi="Arial" w:cs="Arial"/>
          <w:bCs/>
          <w:iCs/>
          <w:sz w:val="22"/>
        </w:rPr>
        <w:t>CITIGAS</w:t>
      </w:r>
      <w:proofErr w:type="spellEnd"/>
      <w:r w:rsidRPr="000C3D9E">
        <w:rPr>
          <w:rFonts w:ascii="Arial" w:hAnsi="Arial" w:cs="Arial"/>
          <w:bCs/>
          <w:iCs/>
          <w:sz w:val="22"/>
        </w:rPr>
        <w:t xml:space="preserve"> Coop. S.p.A., tenendo conto della propria struttura organizzativa e sempre nel rispetto delle normative vi</w:t>
      </w:r>
      <w:r w:rsidR="00F02CD9" w:rsidRPr="000C3D9E">
        <w:rPr>
          <w:rFonts w:ascii="Arial" w:hAnsi="Arial" w:cs="Arial"/>
          <w:bCs/>
          <w:iCs/>
          <w:sz w:val="22"/>
        </w:rPr>
        <w:t>genti, ha istituito il proprio O</w:t>
      </w:r>
      <w:r w:rsidRPr="000C3D9E">
        <w:rPr>
          <w:rFonts w:ascii="Arial" w:hAnsi="Arial" w:cs="Arial"/>
          <w:bCs/>
          <w:iCs/>
          <w:sz w:val="22"/>
        </w:rPr>
        <w:t>rganismo</w:t>
      </w:r>
      <w:r w:rsidR="00F02CD9" w:rsidRPr="000C3D9E">
        <w:rPr>
          <w:rFonts w:ascii="Arial" w:hAnsi="Arial" w:cs="Arial"/>
          <w:bCs/>
          <w:iCs/>
          <w:sz w:val="22"/>
        </w:rPr>
        <w:t xml:space="preserve"> di I</w:t>
      </w:r>
      <w:r w:rsidRPr="000C3D9E">
        <w:rPr>
          <w:rFonts w:ascii="Arial" w:hAnsi="Arial" w:cs="Arial"/>
          <w:bCs/>
          <w:iCs/>
          <w:sz w:val="22"/>
        </w:rPr>
        <w:t xml:space="preserve">spezione </w:t>
      </w:r>
      <w:r w:rsidR="00F02CD9" w:rsidRPr="000C3D9E">
        <w:rPr>
          <w:rFonts w:ascii="Arial" w:hAnsi="Arial" w:cs="Arial"/>
          <w:bCs/>
          <w:iCs/>
          <w:sz w:val="22"/>
        </w:rPr>
        <w:t xml:space="preserve">(in seguito anche OdI) </w:t>
      </w:r>
      <w:r w:rsidRPr="000C3D9E">
        <w:rPr>
          <w:rFonts w:ascii="Arial" w:hAnsi="Arial" w:cs="Arial"/>
          <w:bCs/>
          <w:iCs/>
          <w:sz w:val="22"/>
        </w:rPr>
        <w:t>di tipo C</w:t>
      </w:r>
      <w:r w:rsidR="00BE6A92" w:rsidRPr="000C3D9E">
        <w:rPr>
          <w:rFonts w:ascii="Arial" w:hAnsi="Arial" w:cs="Arial"/>
          <w:bCs/>
          <w:iCs/>
          <w:sz w:val="22"/>
        </w:rPr>
        <w:t xml:space="preserve"> per la verificazione periodica </w:t>
      </w:r>
      <w:bookmarkStart w:id="0" w:name="_Hlk160110240"/>
      <w:r w:rsidR="00BE6A92" w:rsidRPr="000C3D9E">
        <w:rPr>
          <w:rFonts w:ascii="Arial" w:hAnsi="Arial" w:cs="Arial"/>
          <w:bCs/>
          <w:iCs/>
          <w:sz w:val="22"/>
        </w:rPr>
        <w:t>dei dispositivi di conversione del volume di gas (Tipo 1, Tipo 2 e approvati insieme ai contatori) ai sensi del Decreto 21 aprile 2017</w:t>
      </w:r>
      <w:bookmarkEnd w:id="0"/>
      <w:r w:rsidR="00BE6A92" w:rsidRPr="000C3D9E">
        <w:rPr>
          <w:rFonts w:ascii="Arial" w:hAnsi="Arial" w:cs="Arial"/>
          <w:bCs/>
          <w:iCs/>
          <w:sz w:val="22"/>
        </w:rPr>
        <w:t>, che opera con il</w:t>
      </w:r>
      <w:r w:rsidRPr="000C3D9E">
        <w:rPr>
          <w:rFonts w:ascii="Arial" w:hAnsi="Arial" w:cs="Arial"/>
          <w:bCs/>
          <w:iCs/>
          <w:sz w:val="22"/>
        </w:rPr>
        <w:t xml:space="preserve"> </w:t>
      </w:r>
      <w:r w:rsidR="00F00772" w:rsidRPr="000C3D9E">
        <w:rPr>
          <w:rFonts w:ascii="Arial" w:hAnsi="Arial" w:cs="Arial"/>
          <w:bCs/>
          <w:iCs/>
          <w:sz w:val="22"/>
        </w:rPr>
        <w:t>numero identificativo</w:t>
      </w:r>
      <w:r w:rsidRPr="000C3D9E">
        <w:rPr>
          <w:rFonts w:ascii="Arial" w:hAnsi="Arial" w:cs="Arial"/>
          <w:bCs/>
          <w:iCs/>
          <w:sz w:val="22"/>
        </w:rPr>
        <w:t xml:space="preserve"> TE 232 </w:t>
      </w:r>
      <w:r w:rsidR="00BE6A92" w:rsidRPr="000C3D9E">
        <w:rPr>
          <w:rFonts w:ascii="Arial" w:hAnsi="Arial" w:cs="Arial"/>
          <w:bCs/>
          <w:iCs/>
          <w:sz w:val="22"/>
        </w:rPr>
        <w:t>assegnato da Unioncamere a seguito di relativo riconoscimento dopo presentazione del documento di SCIA.</w:t>
      </w:r>
    </w:p>
    <w:p w14:paraId="3BF713A3" w14:textId="77777777" w:rsidR="00BE6A92" w:rsidRPr="000C3D9E" w:rsidRDefault="00BE6A92" w:rsidP="00AD2850">
      <w:pPr>
        <w:pBdr>
          <w:right w:val="single" w:sz="4" w:space="4" w:color="auto"/>
        </w:pBdr>
        <w:ind w:left="284" w:right="401"/>
        <w:jc w:val="both"/>
        <w:rPr>
          <w:rFonts w:ascii="Arial" w:hAnsi="Arial" w:cs="Arial"/>
          <w:bCs/>
          <w:iCs/>
          <w:sz w:val="22"/>
        </w:rPr>
      </w:pPr>
    </w:p>
    <w:p w14:paraId="2110F4D0" w14:textId="7038BD70" w:rsidR="00AD2850" w:rsidRPr="000C3D9E" w:rsidRDefault="00AD2850" w:rsidP="00AD2850">
      <w:pPr>
        <w:pBdr>
          <w:right w:val="single" w:sz="4" w:space="4" w:color="auto"/>
        </w:pBdr>
        <w:ind w:left="284" w:right="401"/>
        <w:jc w:val="both"/>
        <w:rPr>
          <w:rFonts w:ascii="Arial" w:hAnsi="Arial" w:cs="Arial"/>
          <w:bCs/>
          <w:iCs/>
          <w:sz w:val="22"/>
        </w:rPr>
      </w:pPr>
      <w:r w:rsidRPr="000C3D9E">
        <w:rPr>
          <w:rFonts w:ascii="Arial" w:hAnsi="Arial" w:cs="Arial"/>
          <w:bCs/>
          <w:iCs/>
          <w:sz w:val="22"/>
        </w:rPr>
        <w:t>Nello svolgere la propria attività di verificazione periodica, l</w:t>
      </w:r>
      <w:r w:rsidR="00F00772" w:rsidRPr="000C3D9E">
        <w:rPr>
          <w:rFonts w:ascii="Arial" w:hAnsi="Arial" w:cs="Arial"/>
          <w:bCs/>
          <w:iCs/>
          <w:sz w:val="22"/>
        </w:rPr>
        <w:t>’</w:t>
      </w:r>
      <w:r w:rsidR="00273A75" w:rsidRPr="000C3D9E">
        <w:rPr>
          <w:rFonts w:ascii="Arial" w:hAnsi="Arial" w:cs="Arial"/>
          <w:bCs/>
          <w:iCs/>
          <w:sz w:val="22"/>
        </w:rPr>
        <w:t>Od</w:t>
      </w:r>
      <w:r w:rsidR="0004026C" w:rsidRPr="000C3D9E">
        <w:rPr>
          <w:rFonts w:ascii="Arial" w:hAnsi="Arial" w:cs="Arial"/>
          <w:bCs/>
          <w:iCs/>
          <w:sz w:val="22"/>
        </w:rPr>
        <w:t>I</w:t>
      </w:r>
      <w:r w:rsidR="00273A75" w:rsidRPr="000C3D9E">
        <w:rPr>
          <w:rFonts w:ascii="Arial" w:hAnsi="Arial" w:cs="Arial"/>
          <w:bCs/>
          <w:iCs/>
          <w:sz w:val="22"/>
        </w:rPr>
        <w:t xml:space="preserve"> di </w:t>
      </w:r>
      <w:proofErr w:type="spellStart"/>
      <w:r w:rsidR="00273A75" w:rsidRPr="000C3D9E">
        <w:rPr>
          <w:rFonts w:ascii="Arial" w:hAnsi="Arial" w:cs="Arial"/>
          <w:bCs/>
          <w:iCs/>
          <w:sz w:val="22"/>
        </w:rPr>
        <w:t>Citigas</w:t>
      </w:r>
      <w:proofErr w:type="spellEnd"/>
      <w:r w:rsidR="00273A75" w:rsidRPr="000C3D9E">
        <w:rPr>
          <w:rFonts w:ascii="Arial" w:hAnsi="Arial" w:cs="Arial"/>
          <w:bCs/>
          <w:iCs/>
          <w:sz w:val="22"/>
        </w:rPr>
        <w:t xml:space="preserve"> intende</w:t>
      </w:r>
      <w:r w:rsidRPr="000C3D9E">
        <w:rPr>
          <w:rFonts w:ascii="Arial" w:hAnsi="Arial" w:cs="Arial"/>
          <w:bCs/>
          <w:iCs/>
          <w:sz w:val="22"/>
        </w:rPr>
        <w:t xml:space="preserve"> garantire piena ed assoluta </w:t>
      </w:r>
      <w:r w:rsidR="00273A75" w:rsidRPr="000C3D9E">
        <w:rPr>
          <w:rFonts w:ascii="Arial" w:hAnsi="Arial" w:cs="Arial"/>
          <w:bCs/>
          <w:iCs/>
          <w:sz w:val="22"/>
        </w:rPr>
        <w:t>imparzialità</w:t>
      </w:r>
      <w:r w:rsidRPr="000C3D9E">
        <w:rPr>
          <w:rFonts w:ascii="Arial" w:hAnsi="Arial" w:cs="Arial"/>
          <w:bCs/>
          <w:iCs/>
          <w:sz w:val="22"/>
        </w:rPr>
        <w:t xml:space="preserve">, indipendenza, professionalità e affidabilità, nonché </w:t>
      </w:r>
      <w:r w:rsidR="00273A75" w:rsidRPr="000C3D9E">
        <w:rPr>
          <w:rFonts w:ascii="Arial" w:hAnsi="Arial" w:cs="Arial"/>
          <w:bCs/>
          <w:iCs/>
          <w:sz w:val="22"/>
        </w:rPr>
        <w:t xml:space="preserve">riservatezza delle informazioni acquisite, </w:t>
      </w:r>
      <w:r w:rsidRPr="000C3D9E">
        <w:rPr>
          <w:rFonts w:ascii="Arial" w:hAnsi="Arial" w:cs="Arial"/>
          <w:bCs/>
          <w:iCs/>
          <w:sz w:val="22"/>
        </w:rPr>
        <w:t>ad eccezione dei casi in cui la pubblicizzazione di tali informazioni sia prevista da obblighi di legge o equivalenti, e previa notifica al soggetto incaricato.</w:t>
      </w:r>
    </w:p>
    <w:p w14:paraId="20B85D8B" w14:textId="228C97B8" w:rsidR="00273A75" w:rsidRPr="000C3D9E" w:rsidRDefault="00273A75" w:rsidP="00AD2850">
      <w:pPr>
        <w:pBdr>
          <w:right w:val="single" w:sz="4" w:space="4" w:color="auto"/>
        </w:pBdr>
        <w:ind w:left="284" w:right="401"/>
        <w:jc w:val="both"/>
        <w:rPr>
          <w:rFonts w:ascii="Arial" w:hAnsi="Arial" w:cs="Arial"/>
          <w:bCs/>
          <w:iCs/>
          <w:sz w:val="22"/>
        </w:rPr>
      </w:pPr>
    </w:p>
    <w:p w14:paraId="5BE95431" w14:textId="01D39EAE" w:rsidR="00073939" w:rsidRDefault="003442B6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  <w:r w:rsidRPr="000C3D9E">
        <w:rPr>
          <w:rFonts w:ascii="Arial" w:hAnsi="Arial" w:cs="Arial"/>
          <w:bCs/>
          <w:iCs/>
          <w:sz w:val="22"/>
        </w:rPr>
        <w:t xml:space="preserve">Per tale scopo </w:t>
      </w:r>
      <w:r w:rsidR="00BE6A92" w:rsidRPr="000C3D9E">
        <w:rPr>
          <w:rFonts w:ascii="Arial" w:hAnsi="Arial" w:cs="Arial"/>
          <w:bCs/>
          <w:iCs/>
          <w:sz w:val="22"/>
        </w:rPr>
        <w:t>l’Od</w:t>
      </w:r>
      <w:r w:rsidR="0004026C" w:rsidRPr="000C3D9E">
        <w:rPr>
          <w:rFonts w:ascii="Arial" w:hAnsi="Arial" w:cs="Arial"/>
          <w:bCs/>
          <w:iCs/>
          <w:sz w:val="22"/>
        </w:rPr>
        <w:t>I</w:t>
      </w:r>
      <w:r w:rsidR="00BE6A92" w:rsidRPr="000C3D9E">
        <w:rPr>
          <w:rFonts w:ascii="Arial" w:hAnsi="Arial" w:cs="Arial"/>
          <w:bCs/>
          <w:iCs/>
          <w:sz w:val="22"/>
        </w:rPr>
        <w:t xml:space="preserve"> di </w:t>
      </w:r>
      <w:proofErr w:type="spellStart"/>
      <w:r w:rsidR="00BE6A92" w:rsidRPr="000C3D9E">
        <w:rPr>
          <w:rFonts w:ascii="Arial" w:hAnsi="Arial" w:cs="Arial"/>
          <w:bCs/>
          <w:iCs/>
          <w:sz w:val="22"/>
        </w:rPr>
        <w:t>Citigas</w:t>
      </w:r>
      <w:proofErr w:type="spellEnd"/>
      <w:r w:rsidR="00BE6A92" w:rsidRPr="000C3D9E">
        <w:rPr>
          <w:rFonts w:ascii="Arial" w:hAnsi="Arial" w:cs="Arial"/>
          <w:bCs/>
          <w:iCs/>
          <w:sz w:val="22"/>
        </w:rPr>
        <w:t xml:space="preserve"> </w:t>
      </w:r>
      <w:r w:rsidRPr="000C3D9E">
        <w:rPr>
          <w:rFonts w:ascii="Arial" w:hAnsi="Arial" w:cs="Arial"/>
          <w:bCs/>
          <w:iCs/>
          <w:sz w:val="22"/>
        </w:rPr>
        <w:t>è responsabile delle proprie attività e non permette che pressioni di tipo commerciale, finanziario o di altro genere compromettano l’imparzialità.</w:t>
      </w:r>
    </w:p>
    <w:p w14:paraId="4CBAD56F" w14:textId="77777777" w:rsidR="000C3D9E" w:rsidRPr="000C3D9E" w:rsidRDefault="000C3D9E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</w:p>
    <w:p w14:paraId="214FCC92" w14:textId="77777777" w:rsidR="00F00772" w:rsidRPr="000C3D9E" w:rsidRDefault="00F00772" w:rsidP="0004026C">
      <w:pPr>
        <w:pBdr>
          <w:right w:val="single" w:sz="4" w:space="4" w:color="auto"/>
        </w:pBdr>
        <w:ind w:left="284" w:right="401"/>
        <w:jc w:val="both"/>
        <w:rPr>
          <w:rFonts w:ascii="Arial" w:hAnsi="Arial" w:cs="Arial"/>
          <w:bCs/>
          <w:iCs/>
          <w:sz w:val="22"/>
        </w:rPr>
      </w:pPr>
      <w:r w:rsidRPr="000C3D9E">
        <w:rPr>
          <w:rFonts w:ascii="Arial" w:hAnsi="Arial" w:cs="Arial"/>
          <w:bCs/>
          <w:iCs/>
          <w:sz w:val="22"/>
        </w:rPr>
        <w:t>Tutti i rischi sono gestiti nel documento SP_MQ_ALL_I “Indipendenza e Imparzialità - Analisi dei rischi”</w:t>
      </w:r>
    </w:p>
    <w:p w14:paraId="0D67BEAE" w14:textId="77777777" w:rsidR="003442B6" w:rsidRPr="000C3D9E" w:rsidRDefault="003442B6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</w:p>
    <w:p w14:paraId="600AD12E" w14:textId="44746A80" w:rsidR="00E97102" w:rsidRDefault="007C051E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  <w:r w:rsidRPr="000C3D9E">
        <w:rPr>
          <w:rFonts w:ascii="Arial" w:hAnsi="Arial" w:cs="Arial"/>
          <w:bCs/>
          <w:iCs/>
          <w:sz w:val="22"/>
        </w:rPr>
        <w:t xml:space="preserve">L’OdI di Citigas per perseguire i </w:t>
      </w:r>
      <w:r w:rsidR="0004026C" w:rsidRPr="000C3D9E">
        <w:rPr>
          <w:rFonts w:ascii="Arial" w:hAnsi="Arial" w:cs="Arial"/>
          <w:bCs/>
          <w:iCs/>
          <w:sz w:val="22"/>
        </w:rPr>
        <w:t xml:space="preserve">succitati </w:t>
      </w:r>
      <w:r w:rsidRPr="000C3D9E">
        <w:rPr>
          <w:rFonts w:ascii="Arial" w:hAnsi="Arial" w:cs="Arial"/>
          <w:bCs/>
          <w:iCs/>
          <w:dstrike/>
          <w:sz w:val="22"/>
        </w:rPr>
        <w:t xml:space="preserve">propri </w:t>
      </w:r>
      <w:r w:rsidRPr="000C3D9E">
        <w:rPr>
          <w:rFonts w:ascii="Arial" w:hAnsi="Arial" w:cs="Arial"/>
          <w:bCs/>
          <w:iCs/>
          <w:sz w:val="22"/>
        </w:rPr>
        <w:t>obiettivi</w:t>
      </w:r>
      <w:r w:rsidR="0004026C" w:rsidRPr="000C3D9E">
        <w:rPr>
          <w:rFonts w:ascii="Arial" w:hAnsi="Arial" w:cs="Arial"/>
          <w:bCs/>
          <w:iCs/>
          <w:sz w:val="22"/>
        </w:rPr>
        <w:t xml:space="preserve">: </w:t>
      </w:r>
      <w:r w:rsidRPr="000C3D9E">
        <w:rPr>
          <w:rFonts w:ascii="Arial" w:hAnsi="Arial" w:cs="Arial"/>
          <w:bCs/>
          <w:iCs/>
          <w:dstrike/>
          <w:sz w:val="22"/>
        </w:rPr>
        <w:t>di imparzialità</w:t>
      </w:r>
      <w:r w:rsidRPr="000C3D9E">
        <w:rPr>
          <w:rFonts w:ascii="Arial" w:hAnsi="Arial" w:cs="Arial"/>
          <w:bCs/>
          <w:iCs/>
          <w:sz w:val="22"/>
        </w:rPr>
        <w:t>:</w:t>
      </w:r>
    </w:p>
    <w:p w14:paraId="373E0481" w14:textId="7F4DF4FF" w:rsidR="003E3F0C" w:rsidRPr="008455DA" w:rsidRDefault="003E3F0C" w:rsidP="0004026C">
      <w:pPr>
        <w:pStyle w:val="Paragrafoelenco"/>
        <w:numPr>
          <w:ilvl w:val="0"/>
          <w:numId w:val="29"/>
        </w:numPr>
        <w:ind w:right="401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P</w:t>
      </w:r>
      <w:r w:rsidR="007C051E" w:rsidRPr="007C051E">
        <w:rPr>
          <w:rFonts w:ascii="Arial" w:hAnsi="Arial" w:cs="Arial"/>
          <w:bCs/>
          <w:iCs/>
          <w:sz w:val="22"/>
        </w:rPr>
        <w:t>redispone un tariffario, sottoposto all’approvazione del Responsabile Tecnico (in breve</w:t>
      </w:r>
      <w:r w:rsidR="007C051E">
        <w:rPr>
          <w:rFonts w:ascii="Arial" w:hAnsi="Arial" w:cs="Arial"/>
          <w:bCs/>
          <w:iCs/>
          <w:sz w:val="22"/>
        </w:rPr>
        <w:t xml:space="preserve"> </w:t>
      </w:r>
      <w:r w:rsidR="007C051E" w:rsidRPr="007C051E">
        <w:rPr>
          <w:rFonts w:ascii="Arial" w:hAnsi="Arial" w:cs="Arial"/>
          <w:bCs/>
          <w:iCs/>
          <w:sz w:val="22"/>
        </w:rPr>
        <w:t>anche RT</w:t>
      </w:r>
      <w:r w:rsidR="00F00772">
        <w:rPr>
          <w:rFonts w:ascii="Arial" w:hAnsi="Arial" w:cs="Arial"/>
          <w:bCs/>
          <w:iCs/>
          <w:sz w:val="22"/>
        </w:rPr>
        <w:t>EC</w:t>
      </w:r>
      <w:r w:rsidR="007C051E" w:rsidRPr="007C051E">
        <w:rPr>
          <w:rFonts w:ascii="Arial" w:hAnsi="Arial" w:cs="Arial"/>
          <w:bCs/>
          <w:iCs/>
          <w:sz w:val="22"/>
        </w:rPr>
        <w:t>), nel quale sono riportati i criteri economici per la formulazione</w:t>
      </w:r>
      <w:r w:rsidR="007C051E">
        <w:rPr>
          <w:rFonts w:ascii="Arial" w:hAnsi="Arial" w:cs="Arial"/>
          <w:bCs/>
          <w:iCs/>
          <w:sz w:val="22"/>
        </w:rPr>
        <w:t xml:space="preserve"> </w:t>
      </w:r>
      <w:r w:rsidR="007C051E" w:rsidRPr="007C051E">
        <w:rPr>
          <w:rFonts w:ascii="Arial" w:hAnsi="Arial" w:cs="Arial"/>
          <w:bCs/>
          <w:iCs/>
          <w:sz w:val="22"/>
        </w:rPr>
        <w:t>delle offerte e di eventuali sconti, la cui applicazione non discrimina alcun Cliente</w:t>
      </w:r>
      <w:r w:rsidR="0004026C">
        <w:rPr>
          <w:rFonts w:ascii="Arial" w:hAnsi="Arial" w:cs="Arial"/>
          <w:bCs/>
          <w:iCs/>
          <w:sz w:val="22"/>
        </w:rPr>
        <w:t>.</w:t>
      </w:r>
    </w:p>
    <w:p w14:paraId="613F8734" w14:textId="77777777" w:rsidR="007C051E" w:rsidRPr="007C051E" w:rsidRDefault="007C051E" w:rsidP="0004026C">
      <w:pPr>
        <w:pStyle w:val="Paragrafoelenco"/>
        <w:numPr>
          <w:ilvl w:val="0"/>
          <w:numId w:val="29"/>
        </w:numPr>
        <w:ind w:right="401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P</w:t>
      </w:r>
      <w:r w:rsidRPr="007C051E">
        <w:rPr>
          <w:rFonts w:ascii="Arial" w:hAnsi="Arial" w:cs="Arial"/>
          <w:bCs/>
          <w:iCs/>
          <w:sz w:val="22"/>
        </w:rPr>
        <w:t>redispone specifiche dichiarazioni di impegno alla riservatezza, indipendenza e</w:t>
      </w:r>
      <w:r>
        <w:rPr>
          <w:rFonts w:ascii="Arial" w:hAnsi="Arial" w:cs="Arial"/>
          <w:bCs/>
          <w:iCs/>
          <w:sz w:val="22"/>
        </w:rPr>
        <w:t xml:space="preserve"> </w:t>
      </w:r>
      <w:r w:rsidRPr="007C051E">
        <w:rPr>
          <w:rFonts w:ascii="Arial" w:hAnsi="Arial" w:cs="Arial"/>
          <w:bCs/>
          <w:iCs/>
          <w:sz w:val="22"/>
        </w:rPr>
        <w:t xml:space="preserve">salvaguardia dell’imparzialità, che gli Ispettori interni </w:t>
      </w:r>
      <w:r>
        <w:rPr>
          <w:rFonts w:ascii="Arial" w:hAnsi="Arial" w:cs="Arial"/>
          <w:bCs/>
          <w:iCs/>
          <w:sz w:val="22"/>
        </w:rPr>
        <w:t>devono sottoscrivere.</w:t>
      </w:r>
    </w:p>
    <w:p w14:paraId="5D32B486" w14:textId="77777777" w:rsidR="007C051E" w:rsidRPr="007C051E" w:rsidRDefault="007C051E" w:rsidP="0004026C">
      <w:pPr>
        <w:pStyle w:val="Paragrafoelenco"/>
        <w:numPr>
          <w:ilvl w:val="0"/>
          <w:numId w:val="29"/>
        </w:numPr>
        <w:ind w:right="401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D</w:t>
      </w:r>
      <w:r w:rsidRPr="007C051E">
        <w:rPr>
          <w:rFonts w:ascii="Arial" w:hAnsi="Arial" w:cs="Arial"/>
          <w:bCs/>
          <w:iCs/>
          <w:sz w:val="22"/>
        </w:rPr>
        <w:t>efinisce specifiche e chiare condizioni contrattuali di offerta del servizio ispettivo,</w:t>
      </w:r>
      <w:r>
        <w:rPr>
          <w:rFonts w:ascii="Arial" w:hAnsi="Arial" w:cs="Arial"/>
          <w:bCs/>
          <w:iCs/>
          <w:sz w:val="22"/>
        </w:rPr>
        <w:t xml:space="preserve"> </w:t>
      </w:r>
      <w:r w:rsidRPr="007C051E">
        <w:rPr>
          <w:rFonts w:ascii="Arial" w:hAnsi="Arial" w:cs="Arial"/>
          <w:bCs/>
          <w:iCs/>
          <w:sz w:val="22"/>
        </w:rPr>
        <w:t>supportate dal Regolamento dell’OdI di Citigas.</w:t>
      </w:r>
    </w:p>
    <w:p w14:paraId="7D446253" w14:textId="5C20C41E" w:rsidR="007C051E" w:rsidRDefault="007C051E" w:rsidP="0004026C">
      <w:pPr>
        <w:pStyle w:val="Paragrafoelenco"/>
        <w:numPr>
          <w:ilvl w:val="0"/>
          <w:numId w:val="29"/>
        </w:numPr>
        <w:ind w:right="401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N</w:t>
      </w:r>
      <w:r w:rsidRPr="007C051E">
        <w:rPr>
          <w:rFonts w:ascii="Arial" w:hAnsi="Arial" w:cs="Arial"/>
          <w:bCs/>
          <w:iCs/>
          <w:sz w:val="22"/>
        </w:rPr>
        <w:t>on offre e non fornisce, direttamente o indirettamente (neppure attraverso affidamento a</w:t>
      </w:r>
      <w:r>
        <w:rPr>
          <w:rFonts w:ascii="Arial" w:hAnsi="Arial" w:cs="Arial"/>
          <w:bCs/>
          <w:iCs/>
          <w:sz w:val="22"/>
        </w:rPr>
        <w:t xml:space="preserve"> </w:t>
      </w:r>
      <w:r w:rsidRPr="007C051E">
        <w:rPr>
          <w:rFonts w:ascii="Arial" w:hAnsi="Arial" w:cs="Arial"/>
          <w:bCs/>
          <w:iCs/>
          <w:sz w:val="22"/>
        </w:rPr>
        <w:t>società di consulenza esterne) prestazioni di consulenza di qualsiasi natura</w:t>
      </w:r>
      <w:r w:rsidR="0004026C">
        <w:rPr>
          <w:rFonts w:ascii="Arial" w:hAnsi="Arial" w:cs="Arial"/>
          <w:bCs/>
          <w:iCs/>
          <w:sz w:val="22"/>
        </w:rPr>
        <w:t>.</w:t>
      </w:r>
    </w:p>
    <w:p w14:paraId="2FA9CF4E" w14:textId="48CB3F9D" w:rsidR="007C051E" w:rsidRPr="0004026C" w:rsidRDefault="007C051E" w:rsidP="0004026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4026C">
        <w:rPr>
          <w:rFonts w:ascii="Arial" w:hAnsi="Arial" w:cs="Arial"/>
          <w:sz w:val="22"/>
        </w:rPr>
        <w:t>Assicura la riservatezza per tutte le informazioni raccolte nel corso dello svolgimento delle</w:t>
      </w:r>
      <w:r w:rsidR="0004026C" w:rsidRPr="0004026C">
        <w:rPr>
          <w:rFonts w:ascii="Arial" w:hAnsi="Arial" w:cs="Arial"/>
          <w:sz w:val="22"/>
        </w:rPr>
        <w:t xml:space="preserve"> </w:t>
      </w:r>
      <w:r w:rsidRPr="0004026C">
        <w:rPr>
          <w:rFonts w:ascii="Arial" w:hAnsi="Arial" w:cs="Arial"/>
          <w:sz w:val="22"/>
        </w:rPr>
        <w:t>sue attività e la tutela dei diritti di proprietà</w:t>
      </w:r>
      <w:r w:rsidR="0004026C">
        <w:rPr>
          <w:rFonts w:ascii="Arial" w:hAnsi="Arial" w:cs="Arial"/>
          <w:sz w:val="22"/>
        </w:rPr>
        <w:t>.</w:t>
      </w:r>
    </w:p>
    <w:p w14:paraId="2082BADB" w14:textId="12A8C677" w:rsidR="007C051E" w:rsidRPr="007C051E" w:rsidRDefault="007C051E" w:rsidP="0004026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Pr="007C051E">
        <w:rPr>
          <w:rFonts w:ascii="Arial" w:hAnsi="Arial" w:cs="Arial"/>
          <w:sz w:val="22"/>
        </w:rPr>
        <w:t>mette esito sulle verificazioni periodiche basandosi su evidenze oggettive, indicate nella</w:t>
      </w:r>
      <w:r>
        <w:rPr>
          <w:rFonts w:ascii="Arial" w:hAnsi="Arial" w:cs="Arial"/>
          <w:sz w:val="22"/>
        </w:rPr>
        <w:t xml:space="preserve"> </w:t>
      </w:r>
      <w:r w:rsidRPr="007C051E">
        <w:rPr>
          <w:rFonts w:ascii="Arial" w:hAnsi="Arial" w:cs="Arial"/>
          <w:sz w:val="22"/>
        </w:rPr>
        <w:t>lista di controllo conforme alle norme di riferimento</w:t>
      </w:r>
      <w:r w:rsidR="0004026C">
        <w:rPr>
          <w:rFonts w:ascii="Arial" w:hAnsi="Arial" w:cs="Arial"/>
          <w:sz w:val="22"/>
        </w:rPr>
        <w:t>.</w:t>
      </w:r>
    </w:p>
    <w:p w14:paraId="52471D07" w14:textId="77777777" w:rsidR="00E97102" w:rsidRPr="007C051E" w:rsidRDefault="007C051E" w:rsidP="0004026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</w:t>
      </w:r>
      <w:r w:rsidRPr="007C051E">
        <w:rPr>
          <w:rFonts w:ascii="Arial" w:hAnsi="Arial" w:cs="Arial"/>
          <w:sz w:val="22"/>
        </w:rPr>
        <w:t>arantisce libero accesso alla procedura di gestione dei reclami, delle segnalazioni e/o dei</w:t>
      </w:r>
      <w:r>
        <w:rPr>
          <w:rFonts w:ascii="Arial" w:hAnsi="Arial" w:cs="Arial"/>
          <w:sz w:val="22"/>
        </w:rPr>
        <w:t xml:space="preserve"> </w:t>
      </w:r>
      <w:r w:rsidRPr="007C051E">
        <w:rPr>
          <w:rFonts w:ascii="Arial" w:hAnsi="Arial" w:cs="Arial"/>
          <w:sz w:val="22"/>
        </w:rPr>
        <w:t>ricorsi, e si impegna a fornire a essi risposte rapide e debitamente motivate.</w:t>
      </w:r>
    </w:p>
    <w:p w14:paraId="0D317B99" w14:textId="77777777" w:rsidR="007C051E" w:rsidRDefault="007C051E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</w:p>
    <w:p w14:paraId="1F794E90" w14:textId="77777777" w:rsidR="00437666" w:rsidRDefault="003442B6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lastRenderedPageBreak/>
        <w:t>Per garantire l’imparzialità dell’O</w:t>
      </w:r>
      <w:r w:rsidR="00437666">
        <w:rPr>
          <w:rFonts w:ascii="Arial" w:hAnsi="Arial" w:cs="Arial"/>
          <w:bCs/>
          <w:iCs/>
          <w:sz w:val="22"/>
        </w:rPr>
        <w:t xml:space="preserve">dI </w:t>
      </w:r>
      <w:r>
        <w:rPr>
          <w:rFonts w:ascii="Arial" w:hAnsi="Arial" w:cs="Arial"/>
          <w:bCs/>
          <w:iCs/>
          <w:sz w:val="22"/>
        </w:rPr>
        <w:t xml:space="preserve">il Consiglio di Amministrazione della Citigas può accedere in qualsiasi momento a tutte le </w:t>
      </w:r>
      <w:r w:rsidR="008A7633">
        <w:rPr>
          <w:rFonts w:ascii="Arial" w:hAnsi="Arial" w:cs="Arial"/>
          <w:bCs/>
          <w:iCs/>
          <w:sz w:val="22"/>
        </w:rPr>
        <w:t xml:space="preserve">informazioni </w:t>
      </w:r>
      <w:r w:rsidR="00437666">
        <w:rPr>
          <w:rFonts w:ascii="Arial" w:hAnsi="Arial" w:cs="Arial"/>
          <w:bCs/>
          <w:iCs/>
          <w:sz w:val="22"/>
        </w:rPr>
        <w:t xml:space="preserve">dell’OdI </w:t>
      </w:r>
      <w:r w:rsidR="008A7633">
        <w:rPr>
          <w:rFonts w:ascii="Arial" w:hAnsi="Arial" w:cs="Arial"/>
          <w:bCs/>
          <w:iCs/>
          <w:sz w:val="22"/>
        </w:rPr>
        <w:t xml:space="preserve">quali contratti, </w:t>
      </w:r>
      <w:r w:rsidR="00D6409E">
        <w:rPr>
          <w:rFonts w:ascii="Arial" w:hAnsi="Arial" w:cs="Arial"/>
          <w:bCs/>
          <w:iCs/>
          <w:sz w:val="22"/>
        </w:rPr>
        <w:t>offerte ed alle</w:t>
      </w:r>
      <w:r w:rsidR="008A7633">
        <w:rPr>
          <w:rFonts w:ascii="Arial" w:hAnsi="Arial" w:cs="Arial"/>
          <w:bCs/>
          <w:iCs/>
          <w:sz w:val="22"/>
        </w:rPr>
        <w:t xml:space="preserve"> procedure di ispezione</w:t>
      </w:r>
      <w:r w:rsidR="00D6409E">
        <w:rPr>
          <w:rFonts w:ascii="Arial" w:hAnsi="Arial" w:cs="Arial"/>
          <w:bCs/>
          <w:iCs/>
          <w:sz w:val="22"/>
        </w:rPr>
        <w:t>.</w:t>
      </w:r>
      <w:r>
        <w:rPr>
          <w:rFonts w:ascii="Arial" w:hAnsi="Arial" w:cs="Arial"/>
          <w:bCs/>
          <w:iCs/>
          <w:sz w:val="22"/>
        </w:rPr>
        <w:t xml:space="preserve"> </w:t>
      </w:r>
    </w:p>
    <w:p w14:paraId="0575AF1E" w14:textId="77777777" w:rsidR="00437666" w:rsidRDefault="00437666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</w:p>
    <w:p w14:paraId="628D4BE2" w14:textId="25E2AF54" w:rsidR="003442B6" w:rsidRDefault="003442B6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Il CDA è tenuto a segnalare ogni potenziale situazione nella quale si possa configurare il rischio di conflitto di interesse per la salvaguardia dell’</w:t>
      </w:r>
      <w:r w:rsidR="008A7633">
        <w:rPr>
          <w:rFonts w:ascii="Arial" w:hAnsi="Arial" w:cs="Arial"/>
          <w:bCs/>
          <w:iCs/>
          <w:sz w:val="22"/>
        </w:rPr>
        <w:t>imparzialità</w:t>
      </w:r>
      <w:r>
        <w:rPr>
          <w:rFonts w:ascii="Arial" w:hAnsi="Arial" w:cs="Arial"/>
          <w:bCs/>
          <w:iCs/>
          <w:sz w:val="22"/>
        </w:rPr>
        <w:t>.</w:t>
      </w:r>
      <w:r w:rsidR="008A7633">
        <w:rPr>
          <w:rFonts w:ascii="Arial" w:hAnsi="Arial" w:cs="Arial"/>
          <w:bCs/>
          <w:iCs/>
          <w:sz w:val="22"/>
        </w:rPr>
        <w:t xml:space="preserve"> </w:t>
      </w:r>
      <w:r w:rsidR="00A70B8B">
        <w:rPr>
          <w:rFonts w:ascii="Arial" w:hAnsi="Arial" w:cs="Arial"/>
          <w:bCs/>
          <w:iCs/>
          <w:sz w:val="22"/>
        </w:rPr>
        <w:t>Una volta individuato tale rischio l’</w:t>
      </w:r>
      <w:r w:rsidR="00437666">
        <w:rPr>
          <w:rFonts w:ascii="Arial" w:hAnsi="Arial" w:cs="Arial"/>
          <w:bCs/>
          <w:iCs/>
          <w:sz w:val="22"/>
        </w:rPr>
        <w:t>OdI</w:t>
      </w:r>
      <w:r w:rsidR="00A70B8B">
        <w:rPr>
          <w:rFonts w:ascii="Arial" w:hAnsi="Arial" w:cs="Arial"/>
          <w:bCs/>
          <w:iCs/>
          <w:sz w:val="22"/>
        </w:rPr>
        <w:t xml:space="preserve"> provvede ad apportare </w:t>
      </w:r>
      <w:r w:rsidR="00437666">
        <w:rPr>
          <w:rFonts w:ascii="Arial" w:hAnsi="Arial" w:cs="Arial"/>
          <w:bCs/>
          <w:iCs/>
          <w:sz w:val="22"/>
        </w:rPr>
        <w:t xml:space="preserve">adeguate </w:t>
      </w:r>
      <w:r w:rsidR="00A70B8B">
        <w:rPr>
          <w:rFonts w:ascii="Arial" w:hAnsi="Arial" w:cs="Arial"/>
          <w:bCs/>
          <w:iCs/>
          <w:sz w:val="22"/>
        </w:rPr>
        <w:t>azioni correttive affinché venga eliminato o minimizzato.</w:t>
      </w:r>
    </w:p>
    <w:p w14:paraId="61A4F91D" w14:textId="77777777" w:rsidR="00A70B8B" w:rsidRDefault="00A70B8B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</w:p>
    <w:p w14:paraId="10F5A97A" w14:textId="690DBEAD" w:rsidR="003D0018" w:rsidRDefault="001F2B6F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L’O</w:t>
      </w:r>
      <w:r w:rsidR="00437666">
        <w:rPr>
          <w:rFonts w:ascii="Arial" w:hAnsi="Arial" w:cs="Arial"/>
          <w:bCs/>
          <w:iCs/>
          <w:sz w:val="22"/>
        </w:rPr>
        <w:t>d</w:t>
      </w:r>
      <w:r>
        <w:rPr>
          <w:rFonts w:ascii="Arial" w:hAnsi="Arial" w:cs="Arial"/>
          <w:bCs/>
          <w:iCs/>
          <w:sz w:val="22"/>
        </w:rPr>
        <w:t xml:space="preserve">I di </w:t>
      </w:r>
      <w:proofErr w:type="spellStart"/>
      <w:r>
        <w:rPr>
          <w:rFonts w:ascii="Arial" w:hAnsi="Arial" w:cs="Arial"/>
          <w:bCs/>
          <w:iCs/>
          <w:sz w:val="22"/>
        </w:rPr>
        <w:t>Citigas</w:t>
      </w:r>
      <w:proofErr w:type="spellEnd"/>
      <w:r>
        <w:rPr>
          <w:rFonts w:ascii="Arial" w:hAnsi="Arial" w:cs="Arial"/>
          <w:bCs/>
          <w:iCs/>
          <w:sz w:val="22"/>
        </w:rPr>
        <w:t>, all’interno dell’</w:t>
      </w:r>
      <w:r w:rsidR="000450C4">
        <w:rPr>
          <w:rFonts w:ascii="Arial" w:hAnsi="Arial" w:cs="Arial"/>
          <w:bCs/>
          <w:iCs/>
          <w:sz w:val="22"/>
        </w:rPr>
        <w:t>azienda</w:t>
      </w:r>
      <w:r>
        <w:rPr>
          <w:rFonts w:ascii="Arial" w:hAnsi="Arial" w:cs="Arial"/>
          <w:bCs/>
          <w:iCs/>
          <w:sz w:val="22"/>
        </w:rPr>
        <w:t xml:space="preserve">, dispone di </w:t>
      </w:r>
      <w:r w:rsidR="000450C4">
        <w:rPr>
          <w:rFonts w:ascii="Arial" w:hAnsi="Arial" w:cs="Arial"/>
          <w:bCs/>
          <w:iCs/>
          <w:sz w:val="22"/>
        </w:rPr>
        <w:t xml:space="preserve">proprie </w:t>
      </w:r>
      <w:r>
        <w:rPr>
          <w:rFonts w:ascii="Arial" w:hAnsi="Arial" w:cs="Arial"/>
          <w:bCs/>
          <w:iCs/>
          <w:sz w:val="22"/>
        </w:rPr>
        <w:t xml:space="preserve">procedure </w:t>
      </w:r>
      <w:r w:rsidR="000450C4">
        <w:rPr>
          <w:rFonts w:ascii="Arial" w:hAnsi="Arial" w:cs="Arial"/>
          <w:bCs/>
          <w:iCs/>
          <w:sz w:val="22"/>
        </w:rPr>
        <w:t>gestionali finalizzate a garantire un’adeguata separazione di responsabilità e di rendicontazione tra le ispezioni e le altre attività della Citigas; a tal proposito le attività di installazione, manutenzione e servizio non s</w:t>
      </w:r>
      <w:r w:rsidR="00437666">
        <w:rPr>
          <w:rFonts w:ascii="Arial" w:hAnsi="Arial" w:cs="Arial"/>
          <w:bCs/>
          <w:iCs/>
          <w:sz w:val="22"/>
        </w:rPr>
        <w:t xml:space="preserve">ono </w:t>
      </w:r>
      <w:r w:rsidR="000450C4">
        <w:rPr>
          <w:rFonts w:ascii="Arial" w:hAnsi="Arial" w:cs="Arial"/>
          <w:bCs/>
          <w:iCs/>
          <w:sz w:val="22"/>
        </w:rPr>
        <w:t>eseguite dal personale dell’O</w:t>
      </w:r>
      <w:r w:rsidR="00437666">
        <w:rPr>
          <w:rFonts w:ascii="Arial" w:hAnsi="Arial" w:cs="Arial"/>
          <w:bCs/>
          <w:iCs/>
          <w:sz w:val="22"/>
        </w:rPr>
        <w:t>d</w:t>
      </w:r>
      <w:r w:rsidR="000450C4">
        <w:rPr>
          <w:rFonts w:ascii="Arial" w:hAnsi="Arial" w:cs="Arial"/>
          <w:bCs/>
          <w:iCs/>
          <w:sz w:val="22"/>
        </w:rPr>
        <w:t xml:space="preserve">I bensì da </w:t>
      </w:r>
      <w:r w:rsidR="00783475">
        <w:rPr>
          <w:rFonts w:ascii="Arial" w:hAnsi="Arial" w:cs="Arial"/>
          <w:bCs/>
          <w:iCs/>
          <w:sz w:val="22"/>
        </w:rPr>
        <w:t xml:space="preserve">altri tecnici della </w:t>
      </w:r>
      <w:proofErr w:type="spellStart"/>
      <w:r w:rsidR="00783475">
        <w:rPr>
          <w:rFonts w:ascii="Arial" w:hAnsi="Arial" w:cs="Arial"/>
          <w:bCs/>
          <w:iCs/>
          <w:sz w:val="22"/>
        </w:rPr>
        <w:t>Citigas</w:t>
      </w:r>
      <w:proofErr w:type="spellEnd"/>
      <w:r w:rsidR="00783475">
        <w:rPr>
          <w:rFonts w:ascii="Arial" w:hAnsi="Arial" w:cs="Arial"/>
          <w:bCs/>
          <w:iCs/>
          <w:sz w:val="22"/>
        </w:rPr>
        <w:t xml:space="preserve"> non appartenenti all’</w:t>
      </w:r>
      <w:r w:rsidR="00B87D9C">
        <w:rPr>
          <w:rFonts w:ascii="Arial" w:hAnsi="Arial" w:cs="Arial"/>
          <w:bCs/>
          <w:iCs/>
          <w:sz w:val="22"/>
        </w:rPr>
        <w:t>OdI stesso</w:t>
      </w:r>
      <w:r w:rsidR="00783475">
        <w:rPr>
          <w:rFonts w:ascii="Arial" w:hAnsi="Arial" w:cs="Arial"/>
          <w:bCs/>
          <w:iCs/>
          <w:sz w:val="22"/>
        </w:rPr>
        <w:t>.</w:t>
      </w:r>
      <w:r w:rsidR="000450C4">
        <w:rPr>
          <w:rFonts w:ascii="Arial" w:hAnsi="Arial" w:cs="Arial"/>
          <w:bCs/>
          <w:iCs/>
          <w:sz w:val="22"/>
        </w:rPr>
        <w:t xml:space="preserve"> </w:t>
      </w:r>
    </w:p>
    <w:p w14:paraId="3B735BED" w14:textId="77777777" w:rsidR="003D0018" w:rsidRDefault="003D0018" w:rsidP="0004026C">
      <w:pPr>
        <w:ind w:left="284" w:right="401"/>
        <w:jc w:val="both"/>
        <w:rPr>
          <w:rFonts w:ascii="Arial" w:hAnsi="Arial" w:cs="Arial"/>
          <w:bCs/>
          <w:iCs/>
          <w:sz w:val="22"/>
        </w:rPr>
      </w:pPr>
    </w:p>
    <w:p w14:paraId="539A6C30" w14:textId="2856F0F4" w:rsidR="003D0018" w:rsidRPr="000C3D9E" w:rsidRDefault="00891658" w:rsidP="000C3D9E">
      <w:pPr>
        <w:pBdr>
          <w:right w:val="single" w:sz="4" w:space="4" w:color="auto"/>
        </w:pBdr>
        <w:ind w:left="284" w:right="401"/>
        <w:jc w:val="both"/>
        <w:rPr>
          <w:rFonts w:ascii="Arial" w:hAnsi="Arial" w:cs="Arial"/>
          <w:bCs/>
          <w:iCs/>
          <w:sz w:val="22"/>
          <w:u w:val="single"/>
        </w:rPr>
      </w:pPr>
      <w:r>
        <w:rPr>
          <w:rFonts w:ascii="Arial" w:hAnsi="Arial" w:cs="Arial"/>
          <w:bCs/>
          <w:iCs/>
          <w:sz w:val="22"/>
        </w:rPr>
        <w:t>Tutto il personale dell’O</w:t>
      </w:r>
      <w:r w:rsidR="00B87D9C">
        <w:rPr>
          <w:rFonts w:ascii="Arial" w:hAnsi="Arial" w:cs="Arial"/>
          <w:bCs/>
          <w:iCs/>
          <w:sz w:val="22"/>
        </w:rPr>
        <w:t>d</w:t>
      </w:r>
      <w:r>
        <w:rPr>
          <w:rFonts w:ascii="Arial" w:hAnsi="Arial" w:cs="Arial"/>
          <w:bCs/>
          <w:iCs/>
          <w:sz w:val="22"/>
        </w:rPr>
        <w:t xml:space="preserve">I si impegna all’imparzialità nello svolgere le proprie attività ispettive, all’indipendenza, all’assenza di conflitto di interesse, alla mancanza di pregiudizio, alla neutralità, all’onestà </w:t>
      </w:r>
      <w:r w:rsidR="00783475">
        <w:rPr>
          <w:rFonts w:ascii="Arial" w:hAnsi="Arial" w:cs="Arial"/>
          <w:bCs/>
          <w:iCs/>
          <w:sz w:val="22"/>
        </w:rPr>
        <w:t>e a</w:t>
      </w:r>
      <w:r>
        <w:rPr>
          <w:rFonts w:ascii="Arial" w:hAnsi="Arial" w:cs="Arial"/>
          <w:bCs/>
          <w:iCs/>
          <w:sz w:val="22"/>
        </w:rPr>
        <w:t>lla garanzia dell’obiettività nella gestione delle proprie attività di verificazione periodica</w:t>
      </w:r>
      <w:r w:rsidR="00B87D9C">
        <w:rPr>
          <w:rFonts w:ascii="Arial" w:hAnsi="Arial" w:cs="Arial"/>
          <w:bCs/>
          <w:iCs/>
          <w:sz w:val="22"/>
        </w:rPr>
        <w:t xml:space="preserve"> </w:t>
      </w:r>
      <w:r w:rsidR="00B87D9C" w:rsidRPr="000C3D9E">
        <w:rPr>
          <w:rFonts w:ascii="Arial" w:hAnsi="Arial" w:cs="Arial"/>
          <w:bCs/>
          <w:iCs/>
          <w:sz w:val="22"/>
          <w:u w:val="single"/>
        </w:rPr>
        <w:t xml:space="preserve">e alla </w:t>
      </w:r>
      <w:r w:rsidR="00473385" w:rsidRPr="000C3D9E">
        <w:rPr>
          <w:rFonts w:ascii="Arial" w:hAnsi="Arial" w:cs="Arial"/>
          <w:bCs/>
          <w:iCs/>
          <w:sz w:val="22"/>
          <w:u w:val="single"/>
        </w:rPr>
        <w:t>riservatezza</w:t>
      </w:r>
      <w:r w:rsidR="00B87D9C" w:rsidRPr="000C3D9E">
        <w:rPr>
          <w:rFonts w:ascii="Arial" w:hAnsi="Arial" w:cs="Arial"/>
          <w:bCs/>
          <w:iCs/>
          <w:sz w:val="22"/>
          <w:u w:val="single"/>
        </w:rPr>
        <w:t xml:space="preserve"> delle </w:t>
      </w:r>
      <w:r w:rsidR="00473385" w:rsidRPr="000C3D9E">
        <w:rPr>
          <w:rFonts w:ascii="Arial" w:hAnsi="Arial" w:cs="Arial"/>
          <w:bCs/>
          <w:iCs/>
          <w:sz w:val="22"/>
          <w:u w:val="single"/>
        </w:rPr>
        <w:t>informazioni</w:t>
      </w:r>
      <w:r w:rsidR="00B87D9C" w:rsidRPr="000C3D9E">
        <w:rPr>
          <w:rFonts w:ascii="Arial" w:hAnsi="Arial" w:cs="Arial"/>
          <w:bCs/>
          <w:iCs/>
          <w:sz w:val="22"/>
          <w:u w:val="single"/>
        </w:rPr>
        <w:t xml:space="preserve"> di cui viene a conoscenza.</w:t>
      </w:r>
    </w:p>
    <w:sectPr w:rsidR="003D0018" w:rsidRPr="000C3D9E" w:rsidSect="00E02F97">
      <w:headerReference w:type="default" r:id="rId10"/>
      <w:footerReference w:type="default" r:id="rId11"/>
      <w:pgSz w:w="11906" w:h="16838"/>
      <w:pgMar w:top="1418" w:right="720" w:bottom="1134" w:left="720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ADE22" w14:textId="77777777" w:rsidR="00E02F97" w:rsidRDefault="00E02F97" w:rsidP="00DE4ACD">
      <w:pPr>
        <w:spacing w:line="240" w:lineRule="auto"/>
      </w:pPr>
      <w:r>
        <w:separator/>
      </w:r>
    </w:p>
  </w:endnote>
  <w:endnote w:type="continuationSeparator" w:id="0">
    <w:p w14:paraId="5E8BC6EB" w14:textId="77777777" w:rsidR="00E02F97" w:rsidRDefault="00E02F97" w:rsidP="00DE4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71195"/>
      <w:docPartObj>
        <w:docPartGallery w:val="Page Numbers (Top of Page)"/>
        <w:docPartUnique/>
      </w:docPartObj>
    </w:sdtPr>
    <w:sdtContent>
      <w:p w14:paraId="0418CEE8" w14:textId="77777777" w:rsidR="003C6493" w:rsidRPr="000E58C1" w:rsidRDefault="00F00772" w:rsidP="003B6202">
        <w:pPr>
          <w:rPr>
            <w:i/>
          </w:rPr>
        </w:pPr>
        <w:r>
          <w:rPr>
            <w:noProof/>
            <w:lang w:eastAsia="it-IT"/>
          </w:rPr>
          <mc:AlternateContent>
            <mc:Choice Requires="wps">
              <w:drawing>
                <wp:anchor distT="4294967294" distB="4294967294" distL="114300" distR="114300" simplePos="0" relativeHeight="251658240" behindDoc="0" locked="0" layoutInCell="1" allowOverlap="1" wp14:anchorId="3CC757A2" wp14:editId="3CC22E7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-7620</wp:posOffset>
                  </wp:positionV>
                  <wp:extent cx="6624000" cy="0"/>
                  <wp:effectExtent l="0" t="19050" r="24765" b="19050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624000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D2AEAB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.25pt;margin-top:-.6pt;width:521.5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" strokecolor="#4f81bd [3204]" strokeweight="2.5pt">
                  <v:shadow color="#868686"/>
                </v:shape>
              </w:pict>
            </mc:Fallback>
          </mc:AlternateContent>
        </w:r>
        <w:proofErr w:type="spellStart"/>
        <w:r w:rsidR="003B6202">
          <w:t>ISP_MQ_ALL_H</w:t>
        </w:r>
        <w:proofErr w:type="spellEnd"/>
        <w:r w:rsidR="003B6202">
          <w:t xml:space="preserve">                                                                                                                                                                                                          </w:t>
        </w:r>
        <w:r w:rsidR="003C6493" w:rsidRPr="006160CF">
          <w:rPr>
            <w:i/>
          </w:rPr>
          <w:t xml:space="preserve">Pagina </w:t>
        </w:r>
        <w:r w:rsidR="00DE1C58" w:rsidRPr="006160CF">
          <w:rPr>
            <w:i/>
          </w:rPr>
          <w:fldChar w:fldCharType="begin"/>
        </w:r>
        <w:r w:rsidR="003C6493" w:rsidRPr="006160CF">
          <w:rPr>
            <w:i/>
          </w:rPr>
          <w:instrText xml:space="preserve"> PAGE </w:instrText>
        </w:r>
        <w:r w:rsidR="00DE1C58" w:rsidRPr="006160CF">
          <w:rPr>
            <w:i/>
          </w:rPr>
          <w:fldChar w:fldCharType="separate"/>
        </w:r>
        <w:r w:rsidR="0013627A">
          <w:rPr>
            <w:i/>
            <w:noProof/>
          </w:rPr>
          <w:t>3</w:t>
        </w:r>
        <w:r w:rsidR="00DE1C58" w:rsidRPr="006160CF">
          <w:rPr>
            <w:i/>
          </w:rPr>
          <w:fldChar w:fldCharType="end"/>
        </w:r>
        <w:r w:rsidR="003C6493" w:rsidRPr="006160CF">
          <w:rPr>
            <w:i/>
          </w:rPr>
          <w:t xml:space="preserve"> di </w:t>
        </w:r>
        <w:r w:rsidR="00DE1C58" w:rsidRPr="006160CF">
          <w:rPr>
            <w:i/>
          </w:rPr>
          <w:fldChar w:fldCharType="begin"/>
        </w:r>
        <w:r w:rsidR="003C6493" w:rsidRPr="006160CF">
          <w:rPr>
            <w:i/>
          </w:rPr>
          <w:instrText xml:space="preserve"> NUMPAGES  </w:instrText>
        </w:r>
        <w:r w:rsidR="00DE1C58" w:rsidRPr="006160CF">
          <w:rPr>
            <w:i/>
          </w:rPr>
          <w:fldChar w:fldCharType="separate"/>
        </w:r>
        <w:r w:rsidR="0013627A">
          <w:rPr>
            <w:i/>
            <w:noProof/>
          </w:rPr>
          <w:t>3</w:t>
        </w:r>
        <w:r w:rsidR="00DE1C58" w:rsidRPr="006160CF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818B8" w14:textId="77777777" w:rsidR="00E02F97" w:rsidRDefault="00E02F97" w:rsidP="00DE4ACD">
      <w:pPr>
        <w:spacing w:line="240" w:lineRule="auto"/>
      </w:pPr>
      <w:r>
        <w:separator/>
      </w:r>
    </w:p>
  </w:footnote>
  <w:footnote w:type="continuationSeparator" w:id="0">
    <w:p w14:paraId="720847E5" w14:textId="77777777" w:rsidR="00E02F97" w:rsidRDefault="00E02F97" w:rsidP="00DE4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24"/>
      <w:gridCol w:w="5269"/>
      <w:gridCol w:w="2553"/>
    </w:tblGrid>
    <w:tr w:rsidR="003C6493" w:rsidRPr="000C3D9E" w14:paraId="4FE13D29" w14:textId="77777777" w:rsidTr="0004026C">
      <w:trPr>
        <w:trHeight w:val="170"/>
      </w:trPr>
      <w:tc>
        <w:tcPr>
          <w:tcW w:w="1256" w:type="pct"/>
          <w:tc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2918383" w14:textId="09A3D377" w:rsidR="003C6493" w:rsidRDefault="0004026C" w:rsidP="00CD4D10">
          <w:pPr>
            <w:pStyle w:val="TableContents"/>
            <w:jc w:val="center"/>
          </w:pPr>
          <w:r>
            <w:object w:dxaOrig="9091" w:dyaOrig="6089" w14:anchorId="0764B0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5.5pt;height:51pt" o:ole="">
                <v:imagedata r:id="rId1" o:title=""/>
              </v:shape>
              <o:OLEObject Type="Embed" ProgID="PBrush" ShapeID="_x0000_i1026" DrawAspect="Content" ObjectID="_1774408589" r:id="rId2"/>
            </w:object>
          </w:r>
        </w:p>
      </w:tc>
      <w:tc>
        <w:tcPr>
          <w:tcW w:w="2522" w:type="pct"/>
          <w:tc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36EEC71" w14:textId="1F2A7318" w:rsidR="003C6493" w:rsidRPr="001806B0" w:rsidRDefault="00F263C7" w:rsidP="00F64AC3">
          <w:pPr>
            <w:pStyle w:val="TableContents"/>
            <w:spacing w:line="360" w:lineRule="auto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DICHIARAZIONE DI </w:t>
          </w:r>
          <w:r w:rsidR="000151BD">
            <w:rPr>
              <w:b/>
              <w:bCs/>
              <w:sz w:val="22"/>
              <w:szCs w:val="22"/>
            </w:rPr>
            <w:t xml:space="preserve">IMPARZIALITA’ </w:t>
          </w:r>
          <w:r w:rsidR="000C3979">
            <w:rPr>
              <w:b/>
              <w:bCs/>
              <w:sz w:val="22"/>
              <w:szCs w:val="22"/>
            </w:rPr>
            <w:t xml:space="preserve">INDIPENDENZA E </w:t>
          </w:r>
          <w:r w:rsidR="00BE6A92">
            <w:rPr>
              <w:b/>
              <w:bCs/>
              <w:sz w:val="22"/>
              <w:szCs w:val="22"/>
            </w:rPr>
            <w:t>RISERVATEZZA</w:t>
          </w:r>
        </w:p>
      </w:tc>
      <w:tc>
        <w:tcPr>
          <w:tcW w:w="1222" w:type="pct"/>
          <w:tc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1B82952" w14:textId="77777777" w:rsidR="003B6202" w:rsidRPr="003B6202" w:rsidRDefault="003B6202" w:rsidP="0004026C">
          <w:pPr>
            <w:pStyle w:val="TableContents"/>
            <w:jc w:val="right"/>
            <w:rPr>
              <w:lang w:val="en-US"/>
            </w:rPr>
          </w:pPr>
          <w:proofErr w:type="spellStart"/>
          <w:r w:rsidRPr="003B6202">
            <w:rPr>
              <w:lang w:val="en-US"/>
            </w:rPr>
            <w:t>ISP_MQ_ALL_H</w:t>
          </w:r>
          <w:proofErr w:type="spellEnd"/>
        </w:p>
        <w:p w14:paraId="31C0E36B" w14:textId="180FB224" w:rsidR="00DE6FD9" w:rsidRPr="00DE6FD9" w:rsidRDefault="003C6493" w:rsidP="0004026C">
          <w:pPr>
            <w:pStyle w:val="TableContents"/>
            <w:jc w:val="right"/>
            <w:rPr>
              <w:lang w:val="en-US"/>
            </w:rPr>
          </w:pPr>
          <w:r w:rsidRPr="003B6202">
            <w:rPr>
              <w:lang w:val="en-US"/>
            </w:rPr>
            <w:t>Rev 0</w:t>
          </w:r>
          <w:r w:rsidR="00BE6A92">
            <w:rPr>
              <w:lang w:val="en-US"/>
            </w:rPr>
            <w:t>5</w:t>
          </w:r>
          <w:r w:rsidRPr="003B6202">
            <w:rPr>
              <w:lang w:val="en-US"/>
            </w:rPr>
            <w:t xml:space="preserve">  </w:t>
          </w:r>
        </w:p>
      </w:tc>
    </w:tr>
  </w:tbl>
  <w:p w14:paraId="0EF43E11" w14:textId="77777777" w:rsidR="003C6493" w:rsidRPr="0004026C" w:rsidRDefault="003C6493" w:rsidP="0026661D">
    <w:pPr>
      <w:pStyle w:val="Intestazione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36DF"/>
    <w:multiLevelType w:val="hybridMultilevel"/>
    <w:tmpl w:val="419C93C0"/>
    <w:lvl w:ilvl="0" w:tplc="9560246E">
      <w:start w:val="1"/>
      <w:numFmt w:val="decimal"/>
      <w:pStyle w:val="Titolo1"/>
      <w:lvlText w:val="%1.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C27D1D"/>
    <w:multiLevelType w:val="hybridMultilevel"/>
    <w:tmpl w:val="4EBCE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64CF"/>
    <w:multiLevelType w:val="hybridMultilevel"/>
    <w:tmpl w:val="70306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A4EB0"/>
    <w:multiLevelType w:val="hybridMultilevel"/>
    <w:tmpl w:val="1AC2F8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A77"/>
    <w:multiLevelType w:val="hybridMultilevel"/>
    <w:tmpl w:val="FBC4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02B8F"/>
    <w:multiLevelType w:val="hybridMultilevel"/>
    <w:tmpl w:val="A65CC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634F"/>
    <w:multiLevelType w:val="hybridMultilevel"/>
    <w:tmpl w:val="41B04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04063"/>
    <w:multiLevelType w:val="hybridMultilevel"/>
    <w:tmpl w:val="CA80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3923"/>
    <w:multiLevelType w:val="hybridMultilevel"/>
    <w:tmpl w:val="4A122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85D00"/>
    <w:multiLevelType w:val="hybridMultilevel"/>
    <w:tmpl w:val="22E88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92E32"/>
    <w:multiLevelType w:val="hybridMultilevel"/>
    <w:tmpl w:val="E7845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62302"/>
    <w:multiLevelType w:val="hybridMultilevel"/>
    <w:tmpl w:val="857EC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67221"/>
    <w:multiLevelType w:val="hybridMultilevel"/>
    <w:tmpl w:val="7A520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D4CB0"/>
    <w:multiLevelType w:val="hybridMultilevel"/>
    <w:tmpl w:val="C55AB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C74CC"/>
    <w:multiLevelType w:val="hybridMultilevel"/>
    <w:tmpl w:val="024A3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528B1"/>
    <w:multiLevelType w:val="hybridMultilevel"/>
    <w:tmpl w:val="8F764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E5363"/>
    <w:multiLevelType w:val="hybridMultilevel"/>
    <w:tmpl w:val="AC469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62DBC"/>
    <w:multiLevelType w:val="hybridMultilevel"/>
    <w:tmpl w:val="1402F3CC"/>
    <w:lvl w:ilvl="0" w:tplc="36E45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73FAC"/>
    <w:multiLevelType w:val="hybridMultilevel"/>
    <w:tmpl w:val="B7108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4297E"/>
    <w:multiLevelType w:val="hybridMultilevel"/>
    <w:tmpl w:val="0C9AE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F483D"/>
    <w:multiLevelType w:val="hybridMultilevel"/>
    <w:tmpl w:val="325C73A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4327CF"/>
    <w:multiLevelType w:val="hybridMultilevel"/>
    <w:tmpl w:val="A1E08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E3E3B"/>
    <w:multiLevelType w:val="hybridMultilevel"/>
    <w:tmpl w:val="56349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574DA"/>
    <w:multiLevelType w:val="hybridMultilevel"/>
    <w:tmpl w:val="4EDA7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556C2"/>
    <w:multiLevelType w:val="hybridMultilevel"/>
    <w:tmpl w:val="3E50E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D5C07"/>
    <w:multiLevelType w:val="hybridMultilevel"/>
    <w:tmpl w:val="D9EA5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17E5B"/>
    <w:multiLevelType w:val="hybridMultilevel"/>
    <w:tmpl w:val="5EAE99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B2521"/>
    <w:multiLevelType w:val="hybridMultilevel"/>
    <w:tmpl w:val="FBFA2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6428C"/>
    <w:multiLevelType w:val="hybridMultilevel"/>
    <w:tmpl w:val="6DE42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05924">
    <w:abstractNumId w:val="0"/>
  </w:num>
  <w:num w:numId="2" w16cid:durableId="1920749651">
    <w:abstractNumId w:val="25"/>
  </w:num>
  <w:num w:numId="3" w16cid:durableId="909464573">
    <w:abstractNumId w:val="11"/>
  </w:num>
  <w:num w:numId="4" w16cid:durableId="561185408">
    <w:abstractNumId w:val="13"/>
  </w:num>
  <w:num w:numId="5" w16cid:durableId="303511174">
    <w:abstractNumId w:val="6"/>
  </w:num>
  <w:num w:numId="6" w16cid:durableId="1466774334">
    <w:abstractNumId w:val="2"/>
  </w:num>
  <w:num w:numId="7" w16cid:durableId="1796948719">
    <w:abstractNumId w:val="7"/>
  </w:num>
  <w:num w:numId="8" w16cid:durableId="1991983188">
    <w:abstractNumId w:val="24"/>
  </w:num>
  <w:num w:numId="9" w16cid:durableId="1547907768">
    <w:abstractNumId w:val="12"/>
  </w:num>
  <w:num w:numId="10" w16cid:durableId="280503115">
    <w:abstractNumId w:val="16"/>
  </w:num>
  <w:num w:numId="11" w16cid:durableId="302275026">
    <w:abstractNumId w:val="14"/>
  </w:num>
  <w:num w:numId="12" w16cid:durableId="1854607895">
    <w:abstractNumId w:val="10"/>
  </w:num>
  <w:num w:numId="13" w16cid:durableId="1956907207">
    <w:abstractNumId w:val="27"/>
  </w:num>
  <w:num w:numId="14" w16cid:durableId="1843162547">
    <w:abstractNumId w:val="5"/>
  </w:num>
  <w:num w:numId="15" w16cid:durableId="452872450">
    <w:abstractNumId w:val="28"/>
  </w:num>
  <w:num w:numId="16" w16cid:durableId="1493107319">
    <w:abstractNumId w:val="3"/>
  </w:num>
  <w:num w:numId="17" w16cid:durableId="430856361">
    <w:abstractNumId w:val="18"/>
  </w:num>
  <w:num w:numId="18" w16cid:durableId="2050758844">
    <w:abstractNumId w:val="23"/>
  </w:num>
  <w:num w:numId="19" w16cid:durableId="1413090484">
    <w:abstractNumId w:val="9"/>
  </w:num>
  <w:num w:numId="20" w16cid:durableId="955214378">
    <w:abstractNumId w:val="19"/>
  </w:num>
  <w:num w:numId="21" w16cid:durableId="837576518">
    <w:abstractNumId w:val="8"/>
  </w:num>
  <w:num w:numId="22" w16cid:durableId="1094592955">
    <w:abstractNumId w:val="4"/>
  </w:num>
  <w:num w:numId="23" w16cid:durableId="276789723">
    <w:abstractNumId w:val="21"/>
  </w:num>
  <w:num w:numId="24" w16cid:durableId="845441216">
    <w:abstractNumId w:val="15"/>
  </w:num>
  <w:num w:numId="25" w16cid:durableId="1763330754">
    <w:abstractNumId w:val="1"/>
  </w:num>
  <w:num w:numId="26" w16cid:durableId="151221433">
    <w:abstractNumId w:val="17"/>
  </w:num>
  <w:num w:numId="27" w16cid:durableId="1290934419">
    <w:abstractNumId w:val="22"/>
  </w:num>
  <w:num w:numId="28" w16cid:durableId="618491975">
    <w:abstractNumId w:val="26"/>
  </w:num>
  <w:num w:numId="29" w16cid:durableId="137338548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CD"/>
    <w:rsid w:val="000002DF"/>
    <w:rsid w:val="00000FD0"/>
    <w:rsid w:val="00001A83"/>
    <w:rsid w:val="000045B2"/>
    <w:rsid w:val="00004BF4"/>
    <w:rsid w:val="00005917"/>
    <w:rsid w:val="000069D4"/>
    <w:rsid w:val="00010A47"/>
    <w:rsid w:val="00010DDB"/>
    <w:rsid w:val="00011C3B"/>
    <w:rsid w:val="000151BD"/>
    <w:rsid w:val="00020C28"/>
    <w:rsid w:val="0002702B"/>
    <w:rsid w:val="000314DF"/>
    <w:rsid w:val="0003261C"/>
    <w:rsid w:val="00032F15"/>
    <w:rsid w:val="00036E28"/>
    <w:rsid w:val="0004026C"/>
    <w:rsid w:val="000450C4"/>
    <w:rsid w:val="00050DAC"/>
    <w:rsid w:val="000515A1"/>
    <w:rsid w:val="00053A6C"/>
    <w:rsid w:val="000554FF"/>
    <w:rsid w:val="0005556A"/>
    <w:rsid w:val="000575CA"/>
    <w:rsid w:val="00061474"/>
    <w:rsid w:val="000657AA"/>
    <w:rsid w:val="000657AD"/>
    <w:rsid w:val="000675B0"/>
    <w:rsid w:val="0007252F"/>
    <w:rsid w:val="000737CB"/>
    <w:rsid w:val="00073939"/>
    <w:rsid w:val="00080BC2"/>
    <w:rsid w:val="000829EA"/>
    <w:rsid w:val="00083EEF"/>
    <w:rsid w:val="000959F4"/>
    <w:rsid w:val="00095B23"/>
    <w:rsid w:val="00096FCF"/>
    <w:rsid w:val="000A6BB4"/>
    <w:rsid w:val="000A74EE"/>
    <w:rsid w:val="000B1E85"/>
    <w:rsid w:val="000C11F2"/>
    <w:rsid w:val="000C14DB"/>
    <w:rsid w:val="000C1DA3"/>
    <w:rsid w:val="000C3979"/>
    <w:rsid w:val="000C3D9E"/>
    <w:rsid w:val="000C6BB1"/>
    <w:rsid w:val="000D06B1"/>
    <w:rsid w:val="000D7D5A"/>
    <w:rsid w:val="000E2B2C"/>
    <w:rsid w:val="000E324F"/>
    <w:rsid w:val="000E3FE5"/>
    <w:rsid w:val="000E58C1"/>
    <w:rsid w:val="000F3FCE"/>
    <w:rsid w:val="001106B1"/>
    <w:rsid w:val="00120F1B"/>
    <w:rsid w:val="00121D7D"/>
    <w:rsid w:val="00124AE3"/>
    <w:rsid w:val="00124DA7"/>
    <w:rsid w:val="0013336D"/>
    <w:rsid w:val="0013627A"/>
    <w:rsid w:val="0014333B"/>
    <w:rsid w:val="001438EF"/>
    <w:rsid w:val="001465D0"/>
    <w:rsid w:val="001475BE"/>
    <w:rsid w:val="00150A54"/>
    <w:rsid w:val="00156259"/>
    <w:rsid w:val="001567B3"/>
    <w:rsid w:val="00156AB3"/>
    <w:rsid w:val="00157F60"/>
    <w:rsid w:val="0016027F"/>
    <w:rsid w:val="00160A0D"/>
    <w:rsid w:val="00160D18"/>
    <w:rsid w:val="001718EF"/>
    <w:rsid w:val="0017685A"/>
    <w:rsid w:val="001809A5"/>
    <w:rsid w:val="00195CB5"/>
    <w:rsid w:val="001975B1"/>
    <w:rsid w:val="001A163E"/>
    <w:rsid w:val="001A2286"/>
    <w:rsid w:val="001A22CA"/>
    <w:rsid w:val="001A479C"/>
    <w:rsid w:val="001A6445"/>
    <w:rsid w:val="001B0436"/>
    <w:rsid w:val="001B0FD6"/>
    <w:rsid w:val="001B2A0D"/>
    <w:rsid w:val="001B2C88"/>
    <w:rsid w:val="001B78D7"/>
    <w:rsid w:val="001B7E6A"/>
    <w:rsid w:val="001C5799"/>
    <w:rsid w:val="001C5C07"/>
    <w:rsid w:val="001C6BDB"/>
    <w:rsid w:val="001D5430"/>
    <w:rsid w:val="001D604B"/>
    <w:rsid w:val="001D6E9A"/>
    <w:rsid w:val="001E5C20"/>
    <w:rsid w:val="001E5D49"/>
    <w:rsid w:val="001E63A1"/>
    <w:rsid w:val="001F2B6F"/>
    <w:rsid w:val="001F3547"/>
    <w:rsid w:val="001F46DD"/>
    <w:rsid w:val="00201D67"/>
    <w:rsid w:val="00205C5A"/>
    <w:rsid w:val="00207322"/>
    <w:rsid w:val="002102DF"/>
    <w:rsid w:val="002126A6"/>
    <w:rsid w:val="00212E1A"/>
    <w:rsid w:val="0021560C"/>
    <w:rsid w:val="00216D5B"/>
    <w:rsid w:val="0022209E"/>
    <w:rsid w:val="00224438"/>
    <w:rsid w:val="002244E6"/>
    <w:rsid w:val="002251C6"/>
    <w:rsid w:val="00227E1B"/>
    <w:rsid w:val="0024121C"/>
    <w:rsid w:val="00241253"/>
    <w:rsid w:val="002413C5"/>
    <w:rsid w:val="00241552"/>
    <w:rsid w:val="00243C03"/>
    <w:rsid w:val="00244848"/>
    <w:rsid w:val="002457D7"/>
    <w:rsid w:val="002458F7"/>
    <w:rsid w:val="00250CDB"/>
    <w:rsid w:val="002575F5"/>
    <w:rsid w:val="00257D9D"/>
    <w:rsid w:val="0026076B"/>
    <w:rsid w:val="00262743"/>
    <w:rsid w:val="00262A88"/>
    <w:rsid w:val="00265CB8"/>
    <w:rsid w:val="00265CBD"/>
    <w:rsid w:val="0026661D"/>
    <w:rsid w:val="00270891"/>
    <w:rsid w:val="00271BE0"/>
    <w:rsid w:val="002720A7"/>
    <w:rsid w:val="00273A75"/>
    <w:rsid w:val="00274934"/>
    <w:rsid w:val="002755FC"/>
    <w:rsid w:val="00276430"/>
    <w:rsid w:val="00277B53"/>
    <w:rsid w:val="002865B5"/>
    <w:rsid w:val="00286EA3"/>
    <w:rsid w:val="00291167"/>
    <w:rsid w:val="002917C0"/>
    <w:rsid w:val="002920B8"/>
    <w:rsid w:val="002952B4"/>
    <w:rsid w:val="00295A45"/>
    <w:rsid w:val="002964FB"/>
    <w:rsid w:val="002A4EFA"/>
    <w:rsid w:val="002A5B17"/>
    <w:rsid w:val="002A639A"/>
    <w:rsid w:val="002A6D0B"/>
    <w:rsid w:val="002B0055"/>
    <w:rsid w:val="002B2C07"/>
    <w:rsid w:val="002B6797"/>
    <w:rsid w:val="002B6BF6"/>
    <w:rsid w:val="002B7A6A"/>
    <w:rsid w:val="002B7C32"/>
    <w:rsid w:val="002C211C"/>
    <w:rsid w:val="002D0D61"/>
    <w:rsid w:val="002D0EEF"/>
    <w:rsid w:val="002D325F"/>
    <w:rsid w:val="002D4BA5"/>
    <w:rsid w:val="002D5752"/>
    <w:rsid w:val="002D6EE2"/>
    <w:rsid w:val="002E112B"/>
    <w:rsid w:val="002E1204"/>
    <w:rsid w:val="002E1A9A"/>
    <w:rsid w:val="002F0FC4"/>
    <w:rsid w:val="002F17EF"/>
    <w:rsid w:val="002F2CC3"/>
    <w:rsid w:val="002F56DE"/>
    <w:rsid w:val="003022FA"/>
    <w:rsid w:val="00302378"/>
    <w:rsid w:val="00305660"/>
    <w:rsid w:val="0031179D"/>
    <w:rsid w:val="003151B9"/>
    <w:rsid w:val="00324AE0"/>
    <w:rsid w:val="0034142E"/>
    <w:rsid w:val="0034202B"/>
    <w:rsid w:val="00343201"/>
    <w:rsid w:val="003442B6"/>
    <w:rsid w:val="00363EDD"/>
    <w:rsid w:val="00364566"/>
    <w:rsid w:val="0036467C"/>
    <w:rsid w:val="00370357"/>
    <w:rsid w:val="003742FE"/>
    <w:rsid w:val="003761E2"/>
    <w:rsid w:val="003807C3"/>
    <w:rsid w:val="0039049B"/>
    <w:rsid w:val="003A3C91"/>
    <w:rsid w:val="003B07EE"/>
    <w:rsid w:val="003B16C1"/>
    <w:rsid w:val="003B2D01"/>
    <w:rsid w:val="003B6202"/>
    <w:rsid w:val="003C2993"/>
    <w:rsid w:val="003C3AA1"/>
    <w:rsid w:val="003C6493"/>
    <w:rsid w:val="003C7921"/>
    <w:rsid w:val="003C7D6F"/>
    <w:rsid w:val="003D0018"/>
    <w:rsid w:val="003D16B1"/>
    <w:rsid w:val="003D3BB4"/>
    <w:rsid w:val="003D74C9"/>
    <w:rsid w:val="003E3F0C"/>
    <w:rsid w:val="003E59A9"/>
    <w:rsid w:val="003E693D"/>
    <w:rsid w:val="003E69FE"/>
    <w:rsid w:val="003F4136"/>
    <w:rsid w:val="003F44F4"/>
    <w:rsid w:val="003F75F9"/>
    <w:rsid w:val="004038EF"/>
    <w:rsid w:val="00405CFD"/>
    <w:rsid w:val="00406C84"/>
    <w:rsid w:val="00410DAD"/>
    <w:rsid w:val="00414B16"/>
    <w:rsid w:val="00415B60"/>
    <w:rsid w:val="00417EEC"/>
    <w:rsid w:val="00417F46"/>
    <w:rsid w:val="00425D5A"/>
    <w:rsid w:val="0042635C"/>
    <w:rsid w:val="00426A50"/>
    <w:rsid w:val="00430F0B"/>
    <w:rsid w:val="00433D7B"/>
    <w:rsid w:val="00434DA4"/>
    <w:rsid w:val="0043570B"/>
    <w:rsid w:val="00436BAC"/>
    <w:rsid w:val="00437666"/>
    <w:rsid w:val="0044149F"/>
    <w:rsid w:val="0045009D"/>
    <w:rsid w:val="00451CF8"/>
    <w:rsid w:val="004555AB"/>
    <w:rsid w:val="00457793"/>
    <w:rsid w:val="00465D76"/>
    <w:rsid w:val="00466FD0"/>
    <w:rsid w:val="00473385"/>
    <w:rsid w:val="00473523"/>
    <w:rsid w:val="00475539"/>
    <w:rsid w:val="0047574E"/>
    <w:rsid w:val="004769D9"/>
    <w:rsid w:val="00476B79"/>
    <w:rsid w:val="00481CB6"/>
    <w:rsid w:val="00486D45"/>
    <w:rsid w:val="004870D0"/>
    <w:rsid w:val="00493121"/>
    <w:rsid w:val="00494F91"/>
    <w:rsid w:val="00495017"/>
    <w:rsid w:val="00495650"/>
    <w:rsid w:val="004967DD"/>
    <w:rsid w:val="00496BDA"/>
    <w:rsid w:val="004A06AB"/>
    <w:rsid w:val="004A14A3"/>
    <w:rsid w:val="004A6173"/>
    <w:rsid w:val="004A72EF"/>
    <w:rsid w:val="004A7BF2"/>
    <w:rsid w:val="004B079C"/>
    <w:rsid w:val="004B3624"/>
    <w:rsid w:val="004B6ACD"/>
    <w:rsid w:val="004C0E43"/>
    <w:rsid w:val="004C5027"/>
    <w:rsid w:val="004C7415"/>
    <w:rsid w:val="004D121E"/>
    <w:rsid w:val="004D2A91"/>
    <w:rsid w:val="004E05E5"/>
    <w:rsid w:val="004E23CC"/>
    <w:rsid w:val="004E3BC6"/>
    <w:rsid w:val="004E59FD"/>
    <w:rsid w:val="004E7D1C"/>
    <w:rsid w:val="004F00D5"/>
    <w:rsid w:val="004F0C07"/>
    <w:rsid w:val="004F15A1"/>
    <w:rsid w:val="004F5A91"/>
    <w:rsid w:val="00501257"/>
    <w:rsid w:val="0050156A"/>
    <w:rsid w:val="005025F8"/>
    <w:rsid w:val="00503D27"/>
    <w:rsid w:val="005049A6"/>
    <w:rsid w:val="00506057"/>
    <w:rsid w:val="00510A0E"/>
    <w:rsid w:val="00516393"/>
    <w:rsid w:val="005208E4"/>
    <w:rsid w:val="00522605"/>
    <w:rsid w:val="0052578E"/>
    <w:rsid w:val="0052670C"/>
    <w:rsid w:val="0052705A"/>
    <w:rsid w:val="00527D17"/>
    <w:rsid w:val="00531642"/>
    <w:rsid w:val="00537A00"/>
    <w:rsid w:val="005466A4"/>
    <w:rsid w:val="005479A2"/>
    <w:rsid w:val="005506D9"/>
    <w:rsid w:val="00550F92"/>
    <w:rsid w:val="00553D1C"/>
    <w:rsid w:val="00555C4C"/>
    <w:rsid w:val="0056287C"/>
    <w:rsid w:val="005732BE"/>
    <w:rsid w:val="005738E3"/>
    <w:rsid w:val="005839DC"/>
    <w:rsid w:val="00585AE3"/>
    <w:rsid w:val="00585F52"/>
    <w:rsid w:val="0058659A"/>
    <w:rsid w:val="00586A73"/>
    <w:rsid w:val="00594C96"/>
    <w:rsid w:val="005953AE"/>
    <w:rsid w:val="00595B93"/>
    <w:rsid w:val="005A26C3"/>
    <w:rsid w:val="005A354B"/>
    <w:rsid w:val="005B048B"/>
    <w:rsid w:val="005B10B2"/>
    <w:rsid w:val="005B71AC"/>
    <w:rsid w:val="005B7281"/>
    <w:rsid w:val="005C1D55"/>
    <w:rsid w:val="005C3BF4"/>
    <w:rsid w:val="005C6C57"/>
    <w:rsid w:val="005D0FBF"/>
    <w:rsid w:val="005D27C9"/>
    <w:rsid w:val="005E299A"/>
    <w:rsid w:val="005E2DA6"/>
    <w:rsid w:val="005E32DE"/>
    <w:rsid w:val="005E34E6"/>
    <w:rsid w:val="005F0A15"/>
    <w:rsid w:val="005F1B58"/>
    <w:rsid w:val="005F4065"/>
    <w:rsid w:val="005F7E42"/>
    <w:rsid w:val="006051D5"/>
    <w:rsid w:val="00611CC2"/>
    <w:rsid w:val="0061296B"/>
    <w:rsid w:val="006160CF"/>
    <w:rsid w:val="00621DF2"/>
    <w:rsid w:val="0062443D"/>
    <w:rsid w:val="00624B3F"/>
    <w:rsid w:val="00627359"/>
    <w:rsid w:val="006314AF"/>
    <w:rsid w:val="006322A8"/>
    <w:rsid w:val="006346BB"/>
    <w:rsid w:val="00640E35"/>
    <w:rsid w:val="00641207"/>
    <w:rsid w:val="006415C4"/>
    <w:rsid w:val="00650D38"/>
    <w:rsid w:val="00652675"/>
    <w:rsid w:val="00654DCD"/>
    <w:rsid w:val="0066052A"/>
    <w:rsid w:val="00661D46"/>
    <w:rsid w:val="00662476"/>
    <w:rsid w:val="0066249A"/>
    <w:rsid w:val="0066382E"/>
    <w:rsid w:val="006673EC"/>
    <w:rsid w:val="0066796E"/>
    <w:rsid w:val="00670446"/>
    <w:rsid w:val="00670644"/>
    <w:rsid w:val="006707C4"/>
    <w:rsid w:val="00685642"/>
    <w:rsid w:val="0068687F"/>
    <w:rsid w:val="006869A0"/>
    <w:rsid w:val="00692A7C"/>
    <w:rsid w:val="0069776A"/>
    <w:rsid w:val="006A5E87"/>
    <w:rsid w:val="006A6BDA"/>
    <w:rsid w:val="006A7734"/>
    <w:rsid w:val="006B2517"/>
    <w:rsid w:val="006B5B9E"/>
    <w:rsid w:val="006C2030"/>
    <w:rsid w:val="006C204F"/>
    <w:rsid w:val="006C3043"/>
    <w:rsid w:val="006D2FA8"/>
    <w:rsid w:val="006D5F59"/>
    <w:rsid w:val="006E51FB"/>
    <w:rsid w:val="006F39CE"/>
    <w:rsid w:val="00702E37"/>
    <w:rsid w:val="00710CD9"/>
    <w:rsid w:val="00711D34"/>
    <w:rsid w:val="00712B92"/>
    <w:rsid w:val="00714C75"/>
    <w:rsid w:val="00720572"/>
    <w:rsid w:val="007205DF"/>
    <w:rsid w:val="00721AB3"/>
    <w:rsid w:val="0072252F"/>
    <w:rsid w:val="0072604D"/>
    <w:rsid w:val="007345D9"/>
    <w:rsid w:val="0073673E"/>
    <w:rsid w:val="00736A88"/>
    <w:rsid w:val="00741A1B"/>
    <w:rsid w:val="00741A36"/>
    <w:rsid w:val="00742C62"/>
    <w:rsid w:val="00745FAF"/>
    <w:rsid w:val="00747087"/>
    <w:rsid w:val="0074798C"/>
    <w:rsid w:val="00747AC2"/>
    <w:rsid w:val="00747AD7"/>
    <w:rsid w:val="00747C47"/>
    <w:rsid w:val="00756061"/>
    <w:rsid w:val="007571EF"/>
    <w:rsid w:val="0077052B"/>
    <w:rsid w:val="007709BC"/>
    <w:rsid w:val="00775A7E"/>
    <w:rsid w:val="0077661A"/>
    <w:rsid w:val="00783475"/>
    <w:rsid w:val="00783781"/>
    <w:rsid w:val="00783BE4"/>
    <w:rsid w:val="007858FB"/>
    <w:rsid w:val="007875C6"/>
    <w:rsid w:val="00791226"/>
    <w:rsid w:val="00792EA4"/>
    <w:rsid w:val="00793C99"/>
    <w:rsid w:val="00794FC8"/>
    <w:rsid w:val="007A5115"/>
    <w:rsid w:val="007A7F3A"/>
    <w:rsid w:val="007B3413"/>
    <w:rsid w:val="007B6BE8"/>
    <w:rsid w:val="007B6C0E"/>
    <w:rsid w:val="007B7744"/>
    <w:rsid w:val="007C051E"/>
    <w:rsid w:val="007C1760"/>
    <w:rsid w:val="007D0809"/>
    <w:rsid w:val="007D7D91"/>
    <w:rsid w:val="007E0395"/>
    <w:rsid w:val="007E24F3"/>
    <w:rsid w:val="007F165C"/>
    <w:rsid w:val="007F6865"/>
    <w:rsid w:val="007F7F85"/>
    <w:rsid w:val="00800288"/>
    <w:rsid w:val="00803325"/>
    <w:rsid w:val="0081091E"/>
    <w:rsid w:val="00812ECB"/>
    <w:rsid w:val="00815239"/>
    <w:rsid w:val="0081765C"/>
    <w:rsid w:val="0082715A"/>
    <w:rsid w:val="008304D2"/>
    <w:rsid w:val="008364AE"/>
    <w:rsid w:val="00836713"/>
    <w:rsid w:val="008455DA"/>
    <w:rsid w:val="00845B01"/>
    <w:rsid w:val="00865332"/>
    <w:rsid w:val="00872ADA"/>
    <w:rsid w:val="008758BE"/>
    <w:rsid w:val="00877BC4"/>
    <w:rsid w:val="00882228"/>
    <w:rsid w:val="008823D6"/>
    <w:rsid w:val="008828E9"/>
    <w:rsid w:val="00883E06"/>
    <w:rsid w:val="008841D7"/>
    <w:rsid w:val="00891658"/>
    <w:rsid w:val="0089413A"/>
    <w:rsid w:val="008952BD"/>
    <w:rsid w:val="00895A58"/>
    <w:rsid w:val="00897A69"/>
    <w:rsid w:val="008A03C5"/>
    <w:rsid w:val="008A1BD8"/>
    <w:rsid w:val="008A4AA2"/>
    <w:rsid w:val="008A4FFD"/>
    <w:rsid w:val="008A69B1"/>
    <w:rsid w:val="008A7633"/>
    <w:rsid w:val="008B29B5"/>
    <w:rsid w:val="008C19D1"/>
    <w:rsid w:val="008C3466"/>
    <w:rsid w:val="008C5603"/>
    <w:rsid w:val="008C59E1"/>
    <w:rsid w:val="008C5CEF"/>
    <w:rsid w:val="008C750B"/>
    <w:rsid w:val="008D4D4C"/>
    <w:rsid w:val="008E0099"/>
    <w:rsid w:val="008E1CFB"/>
    <w:rsid w:val="008E243E"/>
    <w:rsid w:val="008E4341"/>
    <w:rsid w:val="008E51D0"/>
    <w:rsid w:val="008F3944"/>
    <w:rsid w:val="00903C1E"/>
    <w:rsid w:val="00905AB4"/>
    <w:rsid w:val="00905E4F"/>
    <w:rsid w:val="00906407"/>
    <w:rsid w:val="00907C2B"/>
    <w:rsid w:val="009139DC"/>
    <w:rsid w:val="009224B0"/>
    <w:rsid w:val="00923D30"/>
    <w:rsid w:val="0092418C"/>
    <w:rsid w:val="0092445D"/>
    <w:rsid w:val="00931D70"/>
    <w:rsid w:val="0093418B"/>
    <w:rsid w:val="00943390"/>
    <w:rsid w:val="009476B4"/>
    <w:rsid w:val="00960C50"/>
    <w:rsid w:val="00963A27"/>
    <w:rsid w:val="00967060"/>
    <w:rsid w:val="00967898"/>
    <w:rsid w:val="00967C2B"/>
    <w:rsid w:val="009719AD"/>
    <w:rsid w:val="00972A61"/>
    <w:rsid w:val="00972EE9"/>
    <w:rsid w:val="009760AB"/>
    <w:rsid w:val="00982CDF"/>
    <w:rsid w:val="0098722F"/>
    <w:rsid w:val="009907A5"/>
    <w:rsid w:val="00995F18"/>
    <w:rsid w:val="00997836"/>
    <w:rsid w:val="009A1015"/>
    <w:rsid w:val="009A38F0"/>
    <w:rsid w:val="009A6CEA"/>
    <w:rsid w:val="009B19D5"/>
    <w:rsid w:val="009B2983"/>
    <w:rsid w:val="009C5972"/>
    <w:rsid w:val="009D570F"/>
    <w:rsid w:val="009E05EF"/>
    <w:rsid w:val="009E0869"/>
    <w:rsid w:val="009E1091"/>
    <w:rsid w:val="009E254D"/>
    <w:rsid w:val="009E2FAD"/>
    <w:rsid w:val="009E3461"/>
    <w:rsid w:val="009E3EB3"/>
    <w:rsid w:val="009E7D04"/>
    <w:rsid w:val="009F28D2"/>
    <w:rsid w:val="009F3904"/>
    <w:rsid w:val="009F3DA0"/>
    <w:rsid w:val="00A004C8"/>
    <w:rsid w:val="00A00F43"/>
    <w:rsid w:val="00A03E1F"/>
    <w:rsid w:val="00A066B6"/>
    <w:rsid w:val="00A06F5A"/>
    <w:rsid w:val="00A111A8"/>
    <w:rsid w:val="00A13D37"/>
    <w:rsid w:val="00A15D90"/>
    <w:rsid w:val="00A15E3C"/>
    <w:rsid w:val="00A201DA"/>
    <w:rsid w:val="00A21A35"/>
    <w:rsid w:val="00A33B0A"/>
    <w:rsid w:val="00A3405E"/>
    <w:rsid w:val="00A3668B"/>
    <w:rsid w:val="00A46D5F"/>
    <w:rsid w:val="00A51FEC"/>
    <w:rsid w:val="00A52C4F"/>
    <w:rsid w:val="00A53813"/>
    <w:rsid w:val="00A541BB"/>
    <w:rsid w:val="00A649A8"/>
    <w:rsid w:val="00A64D31"/>
    <w:rsid w:val="00A657CC"/>
    <w:rsid w:val="00A7019F"/>
    <w:rsid w:val="00A70B8B"/>
    <w:rsid w:val="00A83D3E"/>
    <w:rsid w:val="00A942AC"/>
    <w:rsid w:val="00A97C01"/>
    <w:rsid w:val="00AA0618"/>
    <w:rsid w:val="00AA15D2"/>
    <w:rsid w:val="00AA7A59"/>
    <w:rsid w:val="00AB2B22"/>
    <w:rsid w:val="00AB315B"/>
    <w:rsid w:val="00AB4059"/>
    <w:rsid w:val="00AB7F98"/>
    <w:rsid w:val="00AC559F"/>
    <w:rsid w:val="00AC73B4"/>
    <w:rsid w:val="00AD2850"/>
    <w:rsid w:val="00AD721C"/>
    <w:rsid w:val="00AE103B"/>
    <w:rsid w:val="00AE2EFF"/>
    <w:rsid w:val="00AE334E"/>
    <w:rsid w:val="00AF01B8"/>
    <w:rsid w:val="00AF3604"/>
    <w:rsid w:val="00AF52A8"/>
    <w:rsid w:val="00B129E7"/>
    <w:rsid w:val="00B16045"/>
    <w:rsid w:val="00B222F2"/>
    <w:rsid w:val="00B238D3"/>
    <w:rsid w:val="00B30107"/>
    <w:rsid w:val="00B362C0"/>
    <w:rsid w:val="00B42655"/>
    <w:rsid w:val="00B42A7F"/>
    <w:rsid w:val="00B47249"/>
    <w:rsid w:val="00B502A6"/>
    <w:rsid w:val="00B509E2"/>
    <w:rsid w:val="00B53D72"/>
    <w:rsid w:val="00B54FDC"/>
    <w:rsid w:val="00B60E33"/>
    <w:rsid w:val="00B65442"/>
    <w:rsid w:val="00B74DB1"/>
    <w:rsid w:val="00B74DBF"/>
    <w:rsid w:val="00B8080B"/>
    <w:rsid w:val="00B815D8"/>
    <w:rsid w:val="00B850CD"/>
    <w:rsid w:val="00B87D9C"/>
    <w:rsid w:val="00B95FA2"/>
    <w:rsid w:val="00BA33AC"/>
    <w:rsid w:val="00BA3ED6"/>
    <w:rsid w:val="00BA5D51"/>
    <w:rsid w:val="00BA60AC"/>
    <w:rsid w:val="00BA7EB8"/>
    <w:rsid w:val="00BB0E45"/>
    <w:rsid w:val="00BB4DD8"/>
    <w:rsid w:val="00BB51C5"/>
    <w:rsid w:val="00BB5D3A"/>
    <w:rsid w:val="00BB6658"/>
    <w:rsid w:val="00BC218A"/>
    <w:rsid w:val="00BC7A98"/>
    <w:rsid w:val="00BD122C"/>
    <w:rsid w:val="00BD2816"/>
    <w:rsid w:val="00BD4D75"/>
    <w:rsid w:val="00BD5946"/>
    <w:rsid w:val="00BE46AE"/>
    <w:rsid w:val="00BE6349"/>
    <w:rsid w:val="00BE6A92"/>
    <w:rsid w:val="00BF08C2"/>
    <w:rsid w:val="00BF28BC"/>
    <w:rsid w:val="00C05C58"/>
    <w:rsid w:val="00C10E3D"/>
    <w:rsid w:val="00C110F3"/>
    <w:rsid w:val="00C12421"/>
    <w:rsid w:val="00C12C02"/>
    <w:rsid w:val="00C15725"/>
    <w:rsid w:val="00C16FFC"/>
    <w:rsid w:val="00C21132"/>
    <w:rsid w:val="00C3700A"/>
    <w:rsid w:val="00C421B4"/>
    <w:rsid w:val="00C42BA5"/>
    <w:rsid w:val="00C43D35"/>
    <w:rsid w:val="00C463F7"/>
    <w:rsid w:val="00C55580"/>
    <w:rsid w:val="00C5793B"/>
    <w:rsid w:val="00C607C7"/>
    <w:rsid w:val="00C610B0"/>
    <w:rsid w:val="00C63881"/>
    <w:rsid w:val="00C6481B"/>
    <w:rsid w:val="00C658EA"/>
    <w:rsid w:val="00C70BF4"/>
    <w:rsid w:val="00C73A69"/>
    <w:rsid w:val="00C7575C"/>
    <w:rsid w:val="00C75E95"/>
    <w:rsid w:val="00C769D4"/>
    <w:rsid w:val="00C814DE"/>
    <w:rsid w:val="00C85A5F"/>
    <w:rsid w:val="00C86C91"/>
    <w:rsid w:val="00C87832"/>
    <w:rsid w:val="00C97546"/>
    <w:rsid w:val="00CA0D73"/>
    <w:rsid w:val="00CB1928"/>
    <w:rsid w:val="00CB4703"/>
    <w:rsid w:val="00CC4B1D"/>
    <w:rsid w:val="00CC5279"/>
    <w:rsid w:val="00CC61D6"/>
    <w:rsid w:val="00CC75A3"/>
    <w:rsid w:val="00CC7D1B"/>
    <w:rsid w:val="00CC7FE2"/>
    <w:rsid w:val="00CD4D10"/>
    <w:rsid w:val="00CE0583"/>
    <w:rsid w:val="00CE3DAA"/>
    <w:rsid w:val="00CF5C53"/>
    <w:rsid w:val="00CF697A"/>
    <w:rsid w:val="00D03080"/>
    <w:rsid w:val="00D032AA"/>
    <w:rsid w:val="00D04E7A"/>
    <w:rsid w:val="00D0626F"/>
    <w:rsid w:val="00D07E56"/>
    <w:rsid w:val="00D10F94"/>
    <w:rsid w:val="00D14165"/>
    <w:rsid w:val="00D20743"/>
    <w:rsid w:val="00D21D42"/>
    <w:rsid w:val="00D23156"/>
    <w:rsid w:val="00D24E4A"/>
    <w:rsid w:val="00D25225"/>
    <w:rsid w:val="00D3018C"/>
    <w:rsid w:val="00D3027E"/>
    <w:rsid w:val="00D419A7"/>
    <w:rsid w:val="00D41AF7"/>
    <w:rsid w:val="00D421C6"/>
    <w:rsid w:val="00D43B74"/>
    <w:rsid w:val="00D47F15"/>
    <w:rsid w:val="00D54216"/>
    <w:rsid w:val="00D54AE1"/>
    <w:rsid w:val="00D54E32"/>
    <w:rsid w:val="00D55971"/>
    <w:rsid w:val="00D600EA"/>
    <w:rsid w:val="00D60323"/>
    <w:rsid w:val="00D6409E"/>
    <w:rsid w:val="00D70BC2"/>
    <w:rsid w:val="00D73142"/>
    <w:rsid w:val="00D74BB1"/>
    <w:rsid w:val="00D75530"/>
    <w:rsid w:val="00D80A0D"/>
    <w:rsid w:val="00D8664F"/>
    <w:rsid w:val="00D867CC"/>
    <w:rsid w:val="00D91924"/>
    <w:rsid w:val="00D930A9"/>
    <w:rsid w:val="00D945DB"/>
    <w:rsid w:val="00D9563A"/>
    <w:rsid w:val="00DA03E2"/>
    <w:rsid w:val="00DA0E88"/>
    <w:rsid w:val="00DA4F60"/>
    <w:rsid w:val="00DA6458"/>
    <w:rsid w:val="00DA6E4F"/>
    <w:rsid w:val="00DB1BE8"/>
    <w:rsid w:val="00DB1DDE"/>
    <w:rsid w:val="00DB34B6"/>
    <w:rsid w:val="00DB478A"/>
    <w:rsid w:val="00DB52CE"/>
    <w:rsid w:val="00DB7AC0"/>
    <w:rsid w:val="00DC20EF"/>
    <w:rsid w:val="00DC3165"/>
    <w:rsid w:val="00DC35A4"/>
    <w:rsid w:val="00DC46E5"/>
    <w:rsid w:val="00DD2855"/>
    <w:rsid w:val="00DD45DD"/>
    <w:rsid w:val="00DD6919"/>
    <w:rsid w:val="00DE0F16"/>
    <w:rsid w:val="00DE1963"/>
    <w:rsid w:val="00DE1C58"/>
    <w:rsid w:val="00DE4ACD"/>
    <w:rsid w:val="00DE65B2"/>
    <w:rsid w:val="00DE6FD9"/>
    <w:rsid w:val="00DF2666"/>
    <w:rsid w:val="00E00C71"/>
    <w:rsid w:val="00E02142"/>
    <w:rsid w:val="00E02F97"/>
    <w:rsid w:val="00E04968"/>
    <w:rsid w:val="00E04CDE"/>
    <w:rsid w:val="00E05909"/>
    <w:rsid w:val="00E05A99"/>
    <w:rsid w:val="00E05E9C"/>
    <w:rsid w:val="00E0696F"/>
    <w:rsid w:val="00E2301C"/>
    <w:rsid w:val="00E36C90"/>
    <w:rsid w:val="00E36C98"/>
    <w:rsid w:val="00E41082"/>
    <w:rsid w:val="00E4179F"/>
    <w:rsid w:val="00E51D4C"/>
    <w:rsid w:val="00E51E7B"/>
    <w:rsid w:val="00E52370"/>
    <w:rsid w:val="00E57507"/>
    <w:rsid w:val="00E620C6"/>
    <w:rsid w:val="00E65E6B"/>
    <w:rsid w:val="00E70EEE"/>
    <w:rsid w:val="00E82DC3"/>
    <w:rsid w:val="00E832E9"/>
    <w:rsid w:val="00E83EFA"/>
    <w:rsid w:val="00E86430"/>
    <w:rsid w:val="00E8766A"/>
    <w:rsid w:val="00E97102"/>
    <w:rsid w:val="00EA0425"/>
    <w:rsid w:val="00EA2FF3"/>
    <w:rsid w:val="00EA5731"/>
    <w:rsid w:val="00EA6062"/>
    <w:rsid w:val="00EB4560"/>
    <w:rsid w:val="00EC03AF"/>
    <w:rsid w:val="00EC2AB7"/>
    <w:rsid w:val="00EC3EAC"/>
    <w:rsid w:val="00EC40E1"/>
    <w:rsid w:val="00ED3330"/>
    <w:rsid w:val="00ED5C8E"/>
    <w:rsid w:val="00ED770A"/>
    <w:rsid w:val="00EE3FCE"/>
    <w:rsid w:val="00EE7DB1"/>
    <w:rsid w:val="00EF5F49"/>
    <w:rsid w:val="00EF67C6"/>
    <w:rsid w:val="00F00772"/>
    <w:rsid w:val="00F01054"/>
    <w:rsid w:val="00F015DB"/>
    <w:rsid w:val="00F02734"/>
    <w:rsid w:val="00F02CD9"/>
    <w:rsid w:val="00F02D64"/>
    <w:rsid w:val="00F0331D"/>
    <w:rsid w:val="00F051C4"/>
    <w:rsid w:val="00F068CE"/>
    <w:rsid w:val="00F06A69"/>
    <w:rsid w:val="00F166E4"/>
    <w:rsid w:val="00F17F3A"/>
    <w:rsid w:val="00F21B52"/>
    <w:rsid w:val="00F24F8D"/>
    <w:rsid w:val="00F2500C"/>
    <w:rsid w:val="00F263C7"/>
    <w:rsid w:val="00F30134"/>
    <w:rsid w:val="00F3145B"/>
    <w:rsid w:val="00F31843"/>
    <w:rsid w:val="00F3279F"/>
    <w:rsid w:val="00F34F9F"/>
    <w:rsid w:val="00F40798"/>
    <w:rsid w:val="00F41B30"/>
    <w:rsid w:val="00F434DE"/>
    <w:rsid w:val="00F44C0B"/>
    <w:rsid w:val="00F472D8"/>
    <w:rsid w:val="00F50A8C"/>
    <w:rsid w:val="00F5196A"/>
    <w:rsid w:val="00F53A63"/>
    <w:rsid w:val="00F53B97"/>
    <w:rsid w:val="00F53C2F"/>
    <w:rsid w:val="00F572D7"/>
    <w:rsid w:val="00F6493F"/>
    <w:rsid w:val="00F64AC3"/>
    <w:rsid w:val="00F661DD"/>
    <w:rsid w:val="00F672AA"/>
    <w:rsid w:val="00F70C3B"/>
    <w:rsid w:val="00F7220D"/>
    <w:rsid w:val="00F73E48"/>
    <w:rsid w:val="00F7438F"/>
    <w:rsid w:val="00F82E2E"/>
    <w:rsid w:val="00F836C2"/>
    <w:rsid w:val="00F846EA"/>
    <w:rsid w:val="00F862F9"/>
    <w:rsid w:val="00F90639"/>
    <w:rsid w:val="00F906E1"/>
    <w:rsid w:val="00F914EE"/>
    <w:rsid w:val="00F932D3"/>
    <w:rsid w:val="00F93B07"/>
    <w:rsid w:val="00FA0C5E"/>
    <w:rsid w:val="00FA0D16"/>
    <w:rsid w:val="00FA1561"/>
    <w:rsid w:val="00FA1863"/>
    <w:rsid w:val="00FA3207"/>
    <w:rsid w:val="00FA34EF"/>
    <w:rsid w:val="00FA4F96"/>
    <w:rsid w:val="00FA5814"/>
    <w:rsid w:val="00FA6275"/>
    <w:rsid w:val="00FB0170"/>
    <w:rsid w:val="00FB267B"/>
    <w:rsid w:val="00FB7C32"/>
    <w:rsid w:val="00FC28F0"/>
    <w:rsid w:val="00FC412A"/>
    <w:rsid w:val="00FC45A4"/>
    <w:rsid w:val="00FC4651"/>
    <w:rsid w:val="00FD48F5"/>
    <w:rsid w:val="00FD6812"/>
    <w:rsid w:val="00FD6A8D"/>
    <w:rsid w:val="00FE455E"/>
    <w:rsid w:val="00FE5F42"/>
    <w:rsid w:val="00FE6BD8"/>
    <w:rsid w:val="00FE77E1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D6126"/>
  <w15:docId w15:val="{DE928C8F-712F-4E1B-A639-34DA4BC2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AC0"/>
    <w:pPr>
      <w:spacing w:after="0" w:line="360" w:lineRule="auto"/>
    </w:pPr>
    <w:rPr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64AE"/>
    <w:pPr>
      <w:keepNext/>
      <w:keepLines/>
      <w:pageBreakBefore/>
      <w:numPr>
        <w:numId w:val="1"/>
      </w:numPr>
      <w:spacing w:before="12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39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C6B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F52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64A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DE4A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ACD"/>
    <w:rPr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DE4A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ACD"/>
    <w:rPr>
      <w:sz w:val="20"/>
    </w:rPr>
  </w:style>
  <w:style w:type="table" w:styleId="Grigliatabella">
    <w:name w:val="Table Grid"/>
    <w:basedOn w:val="Tabellanormale"/>
    <w:uiPriority w:val="59"/>
    <w:rsid w:val="00DE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ACD"/>
    <w:pPr>
      <w:spacing w:line="240" w:lineRule="auto"/>
    </w:pPr>
    <w:rPr>
      <w:rFonts w:ascii="Tahoma" w:hAnsi="Tahoma" w:cs="Tahoma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AC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C3466"/>
    <w:rPr>
      <w:rFonts w:asciiTheme="minorHAnsi" w:hAnsiTheme="minorHAnsi"/>
      <w:color w:val="0000FF" w:themeColor="hyperlink"/>
      <w:sz w:val="16"/>
      <w:u w:val="single"/>
    </w:rPr>
  </w:style>
  <w:style w:type="paragraph" w:styleId="Nessunaspaziatura">
    <w:name w:val="No Spacing"/>
    <w:uiPriority w:val="1"/>
    <w:qFormat/>
    <w:rsid w:val="009719AD"/>
    <w:pPr>
      <w:spacing w:after="0" w:line="240" w:lineRule="auto"/>
    </w:pPr>
    <w:rPr>
      <w:sz w:val="20"/>
    </w:rPr>
  </w:style>
  <w:style w:type="paragraph" w:styleId="Paragrafoelenco">
    <w:name w:val="List Paragraph"/>
    <w:basedOn w:val="Normale"/>
    <w:uiPriority w:val="34"/>
    <w:qFormat/>
    <w:rsid w:val="005732B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9139DC"/>
    <w:rPr>
      <w:rFonts w:asciiTheme="majorHAnsi" w:eastAsiaTheme="majorEastAsia" w:hAnsiTheme="majorHAnsi" w:cstheme="majorBidi"/>
      <w:b/>
      <w:bCs/>
      <w:color w:val="1F497D" w:themeColor="text2"/>
      <w:sz w:val="20"/>
      <w:szCs w:val="26"/>
    </w:rPr>
  </w:style>
  <w:style w:type="table" w:styleId="Sfondomedio1-Colore5">
    <w:name w:val="Medium Shading 1 Accent 5"/>
    <w:basedOn w:val="Tabellanormale"/>
    <w:uiPriority w:val="63"/>
    <w:rsid w:val="009E10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9E10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9E10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Elencochiaro-Colore5">
    <w:name w:val="Light List Accent 5"/>
    <w:basedOn w:val="Tabellanormale"/>
    <w:uiPriority w:val="61"/>
    <w:rsid w:val="00AB2B2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gliamedia1-Colore1">
    <w:name w:val="Medium Grid 1 Accent 1"/>
    <w:basedOn w:val="Tabellanormale"/>
    <w:uiPriority w:val="67"/>
    <w:rsid w:val="005E34E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0C6BB1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52A8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B29B5"/>
    <w:pPr>
      <w:pageBreakBefore w:val="0"/>
      <w:spacing w:before="480" w:after="0" w:line="276" w:lineRule="auto"/>
      <w:outlineLvl w:val="9"/>
    </w:pPr>
    <w:rPr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72252F"/>
    <w:pPr>
      <w:tabs>
        <w:tab w:val="left" w:pos="360"/>
        <w:tab w:val="right" w:leader="dot" w:pos="10456"/>
      </w:tabs>
      <w:spacing w:after="100"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6415C4"/>
    <w:pPr>
      <w:tabs>
        <w:tab w:val="right" w:leader="dot" w:pos="10456"/>
      </w:tabs>
      <w:spacing w:after="100" w:line="240" w:lineRule="auto"/>
      <w:ind w:left="454"/>
    </w:pPr>
  </w:style>
  <w:style w:type="paragraph" w:customStyle="1" w:styleId="TableContents">
    <w:name w:val="Table Contents"/>
    <w:basedOn w:val="Normale"/>
    <w:rsid w:val="0026661D"/>
    <w:pPr>
      <w:suppressLineNumbers/>
      <w:suppressAutoHyphens/>
      <w:autoSpaceDN w:val="0"/>
      <w:spacing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it-IT"/>
    </w:rPr>
  </w:style>
  <w:style w:type="paragraph" w:customStyle="1" w:styleId="Standard">
    <w:name w:val="Standard"/>
    <w:rsid w:val="002666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75530"/>
    <w:rPr>
      <w:color w:val="808080"/>
    </w:rPr>
  </w:style>
  <w:style w:type="paragraph" w:styleId="Sommario3">
    <w:name w:val="toc 3"/>
    <w:basedOn w:val="Normale"/>
    <w:next w:val="Normale"/>
    <w:autoRedefine/>
    <w:uiPriority w:val="39"/>
    <w:unhideWhenUsed/>
    <w:rsid w:val="0072252F"/>
    <w:pPr>
      <w:tabs>
        <w:tab w:val="right" w:leader="dot" w:pos="10456"/>
      </w:tabs>
      <w:spacing w:after="100" w:line="240" w:lineRule="auto"/>
      <w:ind w:left="357"/>
    </w:pPr>
  </w:style>
  <w:style w:type="paragraph" w:customStyle="1" w:styleId="Default">
    <w:name w:val="Default"/>
    <w:rsid w:val="00BE6A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9E9C41-6246-474D-9DDE-24EF473A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Abbiati</dc:creator>
  <cp:lastModifiedBy>Sergio Attingenti</cp:lastModifiedBy>
  <cp:revision>6</cp:revision>
  <cp:lastPrinted>2022-03-21T11:51:00Z</cp:lastPrinted>
  <dcterms:created xsi:type="dcterms:W3CDTF">2024-02-29T10:43:00Z</dcterms:created>
  <dcterms:modified xsi:type="dcterms:W3CDTF">2024-04-12T04:30:00Z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25">
    <vt:lpwstr>Fabio Abbiati</vt:lpwstr>
  </property>
  <property fmtid="{D5CDD505-2E9C-101B-9397-08002B2CF9AE}" pid="3" name="MFiles_P21">
    <vt:filetime>2014-02-19T23:00:00Z</vt:filetime>
  </property>
  <property fmtid="{D5CDD505-2E9C-101B-9397-08002B2CF9AE}" pid="4" name="MFiles_Ver">
    <vt:r8>1</vt:r8>
  </property>
  <property fmtid="{D5CDD505-2E9C-101B-9397-08002B2CF9AE}" pid="5" name="MFiles_P20">
    <vt:filetime>2014-02-19T23:00:00Z</vt:filetime>
  </property>
  <property fmtid="{D5CDD505-2E9C-101B-9397-08002B2CF9AE}" pid="6" name="MFiles_P23">
    <vt:lpwstr>Fabio Abbiati</vt:lpwstr>
  </property>
</Properties>
</file>